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4E0" w:rsidRDefault="00F744E0" w:rsidP="00F744E0">
      <w:pPr>
        <w:shd w:val="clear" w:color="auto" w:fill="FEFEFE"/>
        <w:spacing w:after="0" w:line="240" w:lineRule="auto"/>
        <w:ind w:left="-284" w:hanging="85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ПОСЛАНИЕ ПРЕЗИДЕНТА РОССИЙСКОЙ ФЕДЕРАЦИИ В.В. ПУТИНА К ФЕДЕРАЛЬНОМУ СОБРАНИЮ РОССИЙСКОЙ ФЕДЕРАЦИИ НА 20</w:t>
      </w: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 xml:space="preserve"> ГОД</w:t>
      </w:r>
    </w:p>
    <w:p w:rsidR="00F744E0" w:rsidRPr="00AC4562" w:rsidRDefault="00F744E0" w:rsidP="003D4644">
      <w:pPr>
        <w:shd w:val="clear" w:color="auto" w:fill="FEFEFE"/>
        <w:spacing w:after="0" w:line="240" w:lineRule="auto"/>
        <w:ind w:left="-567" w:right="-1"/>
        <w:jc w:val="center"/>
        <w:rPr>
          <w:rFonts w:ascii="Times New Roman" w:eastAsia="Times New Roman" w:hAnsi="Times New Roman" w:cs="Times New Roman"/>
          <w:color w:val="020C22"/>
          <w:sz w:val="26"/>
          <w:szCs w:val="26"/>
          <w:lang w:eastAsia="ru-RU"/>
        </w:rPr>
      </w:pPr>
      <w:r w:rsidRPr="00F744E0">
        <w:rPr>
          <w:rFonts w:ascii="Times New Roman" w:eastAsia="Times New Roman" w:hAnsi="Times New Roman" w:cs="Times New Roman"/>
          <w:noProof/>
          <w:color w:val="020C22"/>
          <w:sz w:val="26"/>
          <w:szCs w:val="26"/>
          <w:lang w:eastAsia="ru-RU"/>
        </w:rPr>
        <w:drawing>
          <wp:inline distT="0" distB="0" distL="0" distR="0">
            <wp:extent cx="6120765" cy="3776642"/>
            <wp:effectExtent l="0" t="0" r="0" b="0"/>
            <wp:docPr id="2" name="Рисунок 2" descr="D:\Документы\1 Моя рабочая 2018\Послание Президента РФ\Послание Президента РФ в 2020 году\Фото к Посланию Президента РФ на 2020 год\sVOGCANebtpg3KEaeprsmjKdDIwpT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1 Моя рабочая 2018\Послание Президента РФ\Послание Президента РФ в 2020 году\Фото к Посланию Президента РФ на 2020 год\sVOGCANebtpg3KEaeprsmjKdDIwpTEe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765" cy="3776642"/>
                    </a:xfrm>
                    <a:prstGeom prst="rect">
                      <a:avLst/>
                    </a:prstGeom>
                    <a:noFill/>
                    <a:ln>
                      <a:noFill/>
                    </a:ln>
                  </pic:spPr>
                </pic:pic>
              </a:graphicData>
            </a:graphic>
          </wp:inline>
        </w:drawing>
      </w:r>
    </w:p>
    <w:p w:rsidR="00F744E0" w:rsidRDefault="00F744E0" w:rsidP="00F744E0">
      <w:pPr>
        <w:shd w:val="clear" w:color="auto" w:fill="FEFEFE"/>
        <w:spacing w:after="0" w:line="240" w:lineRule="auto"/>
        <w:ind w:left="-567" w:right="-1"/>
        <w:jc w:val="center"/>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Уважаемые граждане России!</w:t>
      </w:r>
    </w:p>
    <w:p w:rsidR="00F744E0" w:rsidRDefault="00F744E0" w:rsidP="00F744E0">
      <w:pPr>
        <w:shd w:val="clear" w:color="auto" w:fill="FEFEFE"/>
        <w:spacing w:after="0" w:line="240" w:lineRule="auto"/>
        <w:ind w:left="-567" w:right="-1"/>
        <w:jc w:val="center"/>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Уважаемые коллеги!</w:t>
      </w:r>
    </w:p>
    <w:p w:rsidR="00F744E0" w:rsidRPr="00AC4562" w:rsidRDefault="00F744E0" w:rsidP="00F744E0">
      <w:pPr>
        <w:shd w:val="clear" w:color="auto" w:fill="FEFEFE"/>
        <w:spacing w:after="0" w:line="240" w:lineRule="auto"/>
        <w:ind w:left="-567" w:right="-1"/>
        <w:jc w:val="both"/>
        <w:rPr>
          <w:rFonts w:ascii="Times New Roman" w:eastAsia="Times New Roman" w:hAnsi="Times New Roman" w:cs="Times New Roman"/>
          <w:i/>
          <w:color w:val="020C22"/>
          <w:sz w:val="26"/>
          <w:szCs w:val="26"/>
          <w:lang w:eastAsia="ru-RU"/>
        </w:rPr>
      </w:pPr>
      <w:r w:rsidRPr="00AC4562">
        <w:rPr>
          <w:rFonts w:ascii="Times New Roman" w:eastAsia="Times New Roman" w:hAnsi="Times New Roman" w:cs="Times New Roman"/>
          <w:i/>
          <w:color w:val="020C22"/>
          <w:sz w:val="26"/>
          <w:szCs w:val="26"/>
          <w:lang w:eastAsia="ru-RU"/>
        </w:rPr>
        <w:t>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w:t>
      </w:r>
    </w:p>
    <w:p w:rsidR="00F744E0" w:rsidRPr="00AC4562" w:rsidRDefault="00F744E0" w:rsidP="00F744E0">
      <w:pPr>
        <w:shd w:val="clear" w:color="auto" w:fill="FEFEFE"/>
        <w:spacing w:after="0" w:line="240" w:lineRule="auto"/>
        <w:ind w:left="-567" w:right="-1"/>
        <w:jc w:val="both"/>
        <w:rPr>
          <w:rFonts w:ascii="Times New Roman" w:eastAsia="Times New Roman" w:hAnsi="Times New Roman" w:cs="Times New Roman"/>
          <w:i/>
          <w:color w:val="020C22"/>
          <w:sz w:val="26"/>
          <w:szCs w:val="26"/>
          <w:lang w:eastAsia="ru-RU"/>
        </w:rPr>
      </w:pPr>
      <w:r w:rsidRPr="00AC4562">
        <w:rPr>
          <w:rFonts w:ascii="Times New Roman" w:eastAsia="Times New Roman" w:hAnsi="Times New Roman" w:cs="Times New Roman"/>
          <w:i/>
          <w:color w:val="020C22"/>
          <w:sz w:val="26"/>
          <w:szCs w:val="26"/>
          <w:lang w:eastAsia="ru-RU"/>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F744E0" w:rsidRDefault="00F744E0" w:rsidP="00F744E0">
      <w:pPr>
        <w:shd w:val="clear" w:color="auto" w:fill="FEFEFE"/>
        <w:spacing w:after="0" w:line="240" w:lineRule="auto"/>
        <w:ind w:left="-567" w:right="-1"/>
        <w:jc w:val="both"/>
        <w:rPr>
          <w:rFonts w:ascii="Times New Roman" w:eastAsia="Times New Roman" w:hAnsi="Times New Roman" w:cs="Times New Roman"/>
          <w:i/>
          <w:color w:val="020C22"/>
          <w:sz w:val="26"/>
          <w:szCs w:val="26"/>
          <w:lang w:eastAsia="ru-RU"/>
        </w:rPr>
      </w:pPr>
      <w:r w:rsidRPr="00AC4562">
        <w:rPr>
          <w:rFonts w:ascii="Times New Roman" w:eastAsia="Times New Roman" w:hAnsi="Times New Roman" w:cs="Times New Roman"/>
          <w:i/>
          <w:color w:val="020C22"/>
          <w:sz w:val="26"/>
          <w:szCs w:val="26"/>
          <w:lang w:eastAsia="ru-RU"/>
        </w:rPr>
        <w:t>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w:t>
      </w:r>
    </w:p>
    <w:p w:rsidR="00F744E0" w:rsidRPr="00AC4562" w:rsidRDefault="00F744E0" w:rsidP="00F744E0">
      <w:pPr>
        <w:shd w:val="clear" w:color="auto" w:fill="FEFEFE"/>
        <w:spacing w:after="0" w:line="240" w:lineRule="auto"/>
        <w:ind w:left="-567" w:right="-1"/>
        <w:jc w:val="center"/>
        <w:rPr>
          <w:rFonts w:ascii="Times New Roman" w:eastAsia="Times New Roman" w:hAnsi="Times New Roman" w:cs="Times New Roman"/>
          <w:i/>
          <w:color w:val="020C22"/>
          <w:sz w:val="26"/>
          <w:szCs w:val="26"/>
          <w:lang w:eastAsia="ru-RU"/>
        </w:rPr>
      </w:pPr>
      <w:bookmarkStart w:id="0" w:name="_GoBack"/>
      <w:r>
        <w:rPr>
          <w:rFonts w:ascii="Times New Roman" w:eastAsia="Times New Roman" w:hAnsi="Times New Roman" w:cs="Times New Roman"/>
          <w:i/>
          <w:color w:val="020C22"/>
          <w:sz w:val="26"/>
          <w:szCs w:val="26"/>
          <w:lang w:eastAsia="ru-RU"/>
        </w:rPr>
        <w:t>ДЕМОГРАФИЯ</w:t>
      </w:r>
    </w:p>
    <w:bookmarkEnd w:id="0"/>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sidRPr="00AC4562">
        <w:rPr>
          <w:rFonts w:ascii="Times New Roman" w:eastAsia="Times New Roman" w:hAnsi="Times New Roman" w:cs="Times New Roman"/>
          <w:color w:val="020C22"/>
          <w:sz w:val="26"/>
          <w:szCs w:val="26"/>
          <w:lang w:eastAsia="ru-RU"/>
        </w:rPr>
        <w:t>приняли</w:t>
      </w:r>
      <w:proofErr w:type="gramEnd"/>
      <w:r w:rsidRPr="00AC4562">
        <w:rPr>
          <w:rFonts w:ascii="Times New Roman" w:eastAsia="Times New Roman" w:hAnsi="Times New Roman" w:cs="Times New Roman"/>
          <w:color w:val="020C22"/>
          <w:sz w:val="26"/>
          <w:szCs w:val="26"/>
          <w:lang w:eastAsia="ru-RU"/>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lastRenderedPageBreak/>
        <w:t>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примерно то же самое, что и во многих европейских странах. Но для нашей страны – мало.</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оценивать прежде всего с точки зрения высшего национального приоритета – сбережения и приумножения народа России.</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Уважаемые главы субъектов Федерации, дорогие мои коллеги, нельзя так работать. Ну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менее это нужно сделать – нужно наверстать этот пробел. Повторю, мы должны работать по всем направлениям поддержки семьи.</w:t>
      </w:r>
    </w:p>
    <w:p w:rsidR="00AC4562" w:rsidRPr="00AC4562" w:rsidRDefault="00AC4562" w:rsidP="00AC4562">
      <w:pPr>
        <w:shd w:val="clear" w:color="auto" w:fill="FEFEFE"/>
        <w:spacing w:after="0" w:line="240" w:lineRule="auto"/>
        <w:ind w:left="-567" w:right="-1"/>
        <w:jc w:val="both"/>
        <w:rPr>
          <w:rFonts w:ascii="Times New Roman" w:eastAsia="Times New Roman" w:hAnsi="Times New Roman" w:cs="Times New Roman"/>
          <w:color w:val="020C22"/>
          <w:sz w:val="26"/>
          <w:szCs w:val="26"/>
          <w:lang w:eastAsia="ru-RU"/>
        </w:rPr>
      </w:pPr>
      <w:r w:rsidRPr="00AC4562">
        <w:rPr>
          <w:rFonts w:ascii="Times New Roman" w:eastAsia="Times New Roman" w:hAnsi="Times New Roman" w:cs="Times New Roman"/>
          <w:color w:val="020C22"/>
          <w:sz w:val="26"/>
          <w:szCs w:val="26"/>
          <w:lang w:eastAsia="ru-RU"/>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Причём, по разным оценкам, порядка 70–80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Кого затронет эта мера, и как, полагаю, она должна действовать.</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w:t>
      </w:r>
      <w:proofErr w:type="gramStart"/>
      <w:r w:rsidRPr="00AC4562">
        <w:rPr>
          <w:color w:val="020C22"/>
          <w:sz w:val="26"/>
          <w:szCs w:val="26"/>
        </w:rPr>
        <w:t>и</w:t>
      </w:r>
      <w:proofErr w:type="gramEnd"/>
      <w:r w:rsidRPr="00AC4562">
        <w:rPr>
          <w:color w:val="020C22"/>
          <w:sz w:val="26"/>
          <w:szCs w:val="26"/>
        </w:rPr>
        <w:t>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Что ещё мы должны сделать, и причём так же быстро.</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А на Дальнем Востоке запущена социальная программа для молодых семей: ипотека по ставке два процента. Прошу банки, и не только с </w:t>
      </w:r>
      <w:proofErr w:type="spellStart"/>
      <w:r w:rsidRPr="00AC4562">
        <w:rPr>
          <w:color w:val="020C22"/>
          <w:sz w:val="26"/>
          <w:szCs w:val="26"/>
        </w:rPr>
        <w:t>госучастием</w:t>
      </w:r>
      <w:proofErr w:type="spellEnd"/>
      <w:r w:rsidRPr="00AC4562">
        <w:rPr>
          <w:color w:val="020C22"/>
          <w:sz w:val="26"/>
          <w:szCs w:val="26"/>
        </w:rPr>
        <w:t>, активнее включаться в её реализацию.</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сделать. 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обеспечить бесплатным горячим питанием всех учеников начальной школы с первого по четвёртый класс.</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Не буду скрывать, у нас большие дискуссии шли на этот счёт. И коллеги в общем и целом, некоторые, возражают не потому, что им детей не хочется поддержать, но говорят о том, что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w:t>
      </w:r>
      <w:r w:rsidRPr="00AC4562">
        <w:rPr>
          <w:color w:val="020C22"/>
          <w:sz w:val="26"/>
          <w:szCs w:val="26"/>
        </w:rPr>
        <w:lastRenderedPageBreak/>
        <w:t>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Мне кажется, что для нашего </w:t>
      </w:r>
      <w:proofErr w:type="gramStart"/>
      <w:r w:rsidRPr="00AC4562">
        <w:rPr>
          <w:color w:val="020C22"/>
          <w:sz w:val="26"/>
          <w:szCs w:val="26"/>
        </w:rPr>
        <w:t>общества это</w:t>
      </w:r>
      <w:proofErr w:type="gramEnd"/>
      <w:r w:rsidRPr="00AC4562">
        <w:rPr>
          <w:color w:val="020C22"/>
          <w:sz w:val="26"/>
          <w:szCs w:val="26"/>
        </w:rPr>
        <w:t xml:space="preserve">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России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каждый ребёнок, где бы он ни жил, мог получить хорошее образование.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lastRenderedPageBreak/>
        <w:t>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всю образовательную да и другую инфраструктуру для этих целей, возможности современных технологий в интересах обучения детей.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более тысячи помещений,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работают в важнейших для общества и страны сферах, их труд должен оплачиваться достойно и справедливо.</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w:t>
      </w:r>
      <w:r w:rsidRPr="00AC4562">
        <w:rPr>
          <w:color w:val="020C22"/>
          <w:sz w:val="26"/>
          <w:szCs w:val="26"/>
        </w:rPr>
        <w:lastRenderedPageBreak/>
        <w:t>(и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Рынок труда сегодня динамично меняется, постоянно появляются новые профессии, усложняются требования к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весьма критически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Тем не менее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sidRPr="00AC4562">
        <w:rPr>
          <w:color w:val="020C22"/>
          <w:sz w:val="26"/>
          <w:szCs w:val="26"/>
        </w:rPr>
        <w:t>ФАПами</w:t>
      </w:r>
      <w:proofErr w:type="spellEnd"/>
      <w:r w:rsidRPr="00AC4562">
        <w:rPr>
          <w:color w:val="020C22"/>
          <w:sz w:val="26"/>
          <w:szCs w:val="26"/>
        </w:rPr>
        <w:t xml:space="preserve"> решены. Хочу подчеркнуть, смысл их работы не в том, чтобы выписывать справки, направления и сходу спроваживать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w:t>
      </w:r>
      <w:r w:rsidRPr="00AC4562">
        <w:rPr>
          <w:color w:val="020C22"/>
          <w:sz w:val="26"/>
          <w:szCs w:val="26"/>
        </w:rPr>
        <w:lastRenderedPageBreak/>
        <w:t>Общероссийский народный фронт взять под контроль ход оснащения, строительства и ремонта ФАПов.</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Существенно изменится и контроль качества лекарственных препаратов. Он будет усилен не только на </w:t>
      </w:r>
      <w:proofErr w:type="spellStart"/>
      <w:r w:rsidRPr="00AC4562">
        <w:rPr>
          <w:color w:val="020C22"/>
          <w:sz w:val="26"/>
          <w:szCs w:val="26"/>
        </w:rPr>
        <w:t>фармпредприятиях</w:t>
      </w:r>
      <w:proofErr w:type="spellEnd"/>
      <w:r w:rsidRPr="00AC4562">
        <w:rPr>
          <w:color w:val="020C22"/>
          <w:sz w:val="26"/>
          <w:szCs w:val="26"/>
        </w:rPr>
        <w:t>, но и на всех этапах обращения лекарств, в том числе в аптечных сетях.</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sidRPr="00AC4562">
        <w:rPr>
          <w:color w:val="020C22"/>
          <w:sz w:val="26"/>
          <w:szCs w:val="26"/>
        </w:rPr>
        <w:t>профицитным</w:t>
      </w:r>
      <w:proofErr w:type="spellEnd"/>
      <w:r w:rsidRPr="00AC4562">
        <w:rPr>
          <w:color w:val="020C22"/>
          <w:sz w:val="26"/>
          <w:szCs w:val="26"/>
        </w:rP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но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ВВП страны нужно увеличить с текущего 21 процента до 25 процентов в 2024 году.</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 необходимо сделать для стимулирования инвестиций?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Второе. В 2020 году нужно, наконец, завершить реформу контрольно-надзорной деятельности, тем самым сделать работу бизнеса удобнее и проще.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Конечно, бизнес, компании, особенно крупные, обязаны помнить о своей социальной и экологической ответственности. Хочу поблагодарить парламентариев за принципиальность при работе над законом о квотировании вредных выбросов в атмосферу.</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не только за состоянием воздуха, но и воды, и почвы, то есть сформировать полноценную систему экологического мониторинга.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Уважаемые коллеги!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Речь прежде всего об искусственном интеллекте, генетике, новых материалах, источниках энергии, цифровых технологиях. Убеждён, мы способны достичь здесь такого же прорыва, как и в оборонной сфере. Об этом я ещё два слова скажу позже.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 xml:space="preserve">Для решения сложных технологических задач продолжим развитие исследовательской инфраструктуры, включая объекты класса </w:t>
      </w:r>
      <w:proofErr w:type="spellStart"/>
      <w:r w:rsidRPr="00AC4562">
        <w:rPr>
          <w:color w:val="020C22"/>
          <w:sz w:val="26"/>
          <w:szCs w:val="26"/>
        </w:rPr>
        <w:t>мегасайенс</w:t>
      </w:r>
      <w:proofErr w:type="spellEnd"/>
      <w:r w:rsidRPr="00AC4562">
        <w:rPr>
          <w:color w:val="020C22"/>
          <w:sz w:val="26"/>
          <w:szCs w:val="26"/>
        </w:rPr>
        <w:t>. Уверен, возможность работать на уникальном оборудовании, браться за самые амбициозные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средств с последующим возможным уголовным преследованием. Словом, нужно создать такие правовые, финансовые условия, чтобы как можно больше </w:t>
      </w:r>
      <w:proofErr w:type="spellStart"/>
      <w:r w:rsidRPr="00AC4562">
        <w:rPr>
          <w:color w:val="020C22"/>
          <w:sz w:val="26"/>
          <w:szCs w:val="26"/>
        </w:rPr>
        <w:t>стартапов</w:t>
      </w:r>
      <w:proofErr w:type="spellEnd"/>
      <w:r w:rsidRPr="00AC4562">
        <w:rPr>
          <w:color w:val="020C22"/>
          <w:sz w:val="26"/>
          <w:szCs w:val="26"/>
        </w:rPr>
        <w:t>, новаторских команд могли стать сильными, успешными инновационными компаниями.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Повседневной жизненной необходимостью для людей стал сегодня и интернет. Причём Россия – одна из немногих стран в мире, где есть свои социальные сети, мессенджеры, почтовые и поисковые системы, другие национальные ресурсы.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этой связи предлагаю подготовить и реализовать проект «Доступный интернет», по всей территории страны обеспечить бесплатный доступ к социально значимым отечественным интернет-сервисам. Повторю, в этом случае людям не придётся платить за саму услугу связи, за интернет-трафик.</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Мы обязаны защитить правду о Победе, иначе что скажем нашим детям, если ложь, как зараза, будет расползаться по всему миру? Наглому вранью,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w:t>
      </w:r>
    </w:p>
    <w:p w:rsidR="00AC4562" w:rsidRPr="00AC4562" w:rsidRDefault="00AC4562" w:rsidP="00AC4562">
      <w:pPr>
        <w:pStyle w:val="a3"/>
        <w:shd w:val="clear" w:color="auto" w:fill="FEFEFE"/>
        <w:spacing w:before="0" w:beforeAutospacing="0" w:after="435" w:afterAutospacing="0"/>
        <w:ind w:left="-567" w:right="-1"/>
        <w:jc w:val="both"/>
        <w:rPr>
          <w:color w:val="020C22"/>
          <w:sz w:val="26"/>
          <w:szCs w:val="26"/>
        </w:rPr>
      </w:pPr>
      <w:r w:rsidRPr="00AC4562">
        <w:rPr>
          <w:color w:val="020C22"/>
          <w:sz w:val="26"/>
          <w:szCs w:val="26"/>
        </w:rPr>
        <w:t>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должны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Российской Федерации. Мне эти вопросы задают постоянно, в том числе на последней годовой пресс-конференции.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Первое: Россия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Смысл, миссия государственной службы именно в служении, и человек, который выбирает этот путь, должен прежде всего для себя решить, что он связывает свою жизнь с Россией, с нашим народом, и никак иначе, без всяких полутонов и допущений.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бы то ни было ранее.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lastRenderedPageBreak/>
        <w:t xml:space="preserve">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 И такая </w:t>
      </w:r>
      <w:proofErr w:type="spellStart"/>
      <w:r w:rsidRPr="00AC4562">
        <w:rPr>
          <w:color w:val="020C22"/>
          <w:sz w:val="26"/>
          <w:szCs w:val="26"/>
        </w:rPr>
        <w:t>разделённость</w:t>
      </w:r>
      <w:proofErr w:type="spellEnd"/>
      <w:r w:rsidRPr="00AC4562">
        <w:rPr>
          <w:color w:val="020C22"/>
          <w:sz w:val="26"/>
          <w:szCs w:val="26"/>
        </w:rPr>
        <w:t>, запутанность полномочий прежде всего отрицательно сказывается на людях.</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И конечно, в любом случае, при любой ситуации и на всей территории страны должны исполняться социальные обязательства государства. 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w:t>
      </w:r>
      <w:r w:rsidRPr="00AC4562">
        <w:rPr>
          <w:color w:val="606778"/>
          <w:sz w:val="26"/>
          <w:szCs w:val="26"/>
        </w:rPr>
        <w:t>о</w:t>
      </w:r>
      <w:r w:rsidRPr="00AC4562">
        <w:rPr>
          <w:color w:val="020C22"/>
          <w:sz w:val="26"/>
          <w:szCs w:val="26"/>
        </w:rPr>
        <w:t>льшую ответственность за формирование Правительства. </w:t>
      </w:r>
      <w:r w:rsidRPr="00AC4562">
        <w:rPr>
          <w:color w:val="606778"/>
          <w:sz w:val="26"/>
          <w:szCs w:val="26"/>
        </w:rPr>
        <w:t>(Аплодисменты.)</w:t>
      </w:r>
      <w:r w:rsidRPr="00AC4562">
        <w:rPr>
          <w:color w:val="020C22"/>
          <w:sz w:val="26"/>
          <w:szCs w:val="26"/>
        </w:rPr>
        <w:t> Это ожидаемые аплодисменты, но я думаю, что сейчас у вас будет возможность ещё раз поаплодировать, дослушайте, что я хочу сказать.</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А если взять </w:t>
      </w:r>
      <w:proofErr w:type="spellStart"/>
      <w:r w:rsidRPr="00AC4562">
        <w:rPr>
          <w:color w:val="020C22"/>
          <w:sz w:val="26"/>
          <w:szCs w:val="26"/>
        </w:rPr>
        <w:t>бóльшую</w:t>
      </w:r>
      <w:proofErr w:type="spellEnd"/>
      <w:r w:rsidRPr="00AC4562">
        <w:rPr>
          <w:color w:val="020C22"/>
          <w:sz w:val="26"/>
          <w:szCs w:val="26"/>
        </w:rPr>
        <w:t xml:space="preserve"> ответственность за формирование Правительства, это значит, взять на себя и </w:t>
      </w:r>
      <w:proofErr w:type="spellStart"/>
      <w:r w:rsidRPr="00AC4562">
        <w:rPr>
          <w:color w:val="020C22"/>
          <w:sz w:val="26"/>
          <w:szCs w:val="26"/>
        </w:rPr>
        <w:t>бо́льшую</w:t>
      </w:r>
      <w:proofErr w:type="spellEnd"/>
      <w:r w:rsidRPr="00AC4562">
        <w:rPr>
          <w:color w:val="020C22"/>
          <w:sz w:val="26"/>
          <w:szCs w:val="26"/>
        </w:rPr>
        <w:t xml:space="preserve"> ответственность за ту политику, которую это Правительство проводит. Я согласен с такой постановкой вопроса, согласен полностью.</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Как обстоит дело сейчас? В соответствии со статьями 111 и 112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w:t>
      </w:r>
      <w:r w:rsidRPr="00AC4562">
        <w:rPr>
          <w:color w:val="020C22"/>
          <w:sz w:val="26"/>
          <w:szCs w:val="26"/>
        </w:rPr>
        <w:lastRenderedPageBreak/>
        <w:t>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w:t>
      </w:r>
      <w:r w:rsidRPr="00AC4562">
        <w:rPr>
          <w:color w:val="606778"/>
          <w:sz w:val="26"/>
          <w:szCs w:val="26"/>
        </w:rPr>
        <w:t>(Аплодисменты.)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При этом, уважаемые коллеги, хочу подчеркнуть следующее, при этом убеждён, что наша страна с её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право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 этой связи шестое: предлагаю предусмотреть, что назначение руководителей всех так называемых силовых ведомств президент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Убеждён, </w:t>
      </w:r>
      <w:proofErr w:type="spellStart"/>
      <w:r w:rsidRPr="00AC4562">
        <w:rPr>
          <w:color w:val="020C22"/>
          <w:sz w:val="26"/>
          <w:szCs w:val="26"/>
        </w:rPr>
        <w:t>бóльшая</w:t>
      </w:r>
      <w:proofErr w:type="spellEnd"/>
      <w:r w:rsidRPr="00AC4562">
        <w:rPr>
          <w:color w:val="020C22"/>
          <w:sz w:val="26"/>
          <w:szCs w:val="26"/>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руководствоваться прежде всего их интересами – интересами наших людей.</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При этом считаю необходимым предусмотреть в Конституции полномочия Совета Федерации по представлению Президента России отрешать от должности судей </w:t>
      </w:r>
      <w:r w:rsidRPr="00AC4562">
        <w:rPr>
          <w:color w:val="020C22"/>
          <w:sz w:val="26"/>
          <w:szCs w:val="26"/>
        </w:rPr>
        <w:lastRenderedPageBreak/>
        <w:t>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 Это предложение делается исходя из сложившейся практики. Этого явно сегодня не хватает.</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Уважаемые коллеги, подчеркну, прозвучавшие сегодня предложения, конечно, не ограничивают круг дискуссий вокруг возможных поправок в Конституции. Уверен,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определённое направление, как минимум показать, перед какими вызовами мы стоим.</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никто раньше даже и не задумывался. А жаль, надо было бы подумать в своё время.</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обеспечивающую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Что 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 xml:space="preserve">Мнение людей, наших граждан, народа как носителя суверенитета и главного источника власти должно быть определяющим. Всё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w:t>
      </w:r>
      <w:r w:rsidRPr="00AC4562">
        <w:rPr>
          <w:color w:val="020C22"/>
          <w:sz w:val="26"/>
          <w:szCs w:val="26"/>
        </w:rPr>
        <w:lastRenderedPageBreak/>
        <w:t>сможем построить только на основе безусловного уважения к мнению людей, к мнению народа.</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020C22"/>
          <w:sz w:val="26"/>
          <w:szCs w:val="26"/>
        </w:rPr>
        <w:t>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 граждан.</w:t>
      </w:r>
    </w:p>
    <w:p w:rsidR="00AC4562" w:rsidRPr="00AC4562" w:rsidRDefault="00AC4562" w:rsidP="003D4644">
      <w:pPr>
        <w:pStyle w:val="a3"/>
        <w:shd w:val="clear" w:color="auto" w:fill="FEFEFE"/>
        <w:spacing w:before="0" w:beforeAutospacing="0" w:after="0" w:afterAutospacing="0"/>
        <w:ind w:left="-284" w:right="-1" w:hanging="283"/>
        <w:jc w:val="both"/>
        <w:rPr>
          <w:color w:val="020C22"/>
          <w:sz w:val="26"/>
          <w:szCs w:val="26"/>
        </w:rPr>
      </w:pPr>
      <w:r w:rsidRPr="00AC4562">
        <w:rPr>
          <w:color w:val="020C22"/>
          <w:sz w:val="26"/>
          <w:szCs w:val="26"/>
        </w:rPr>
        <w:t>Благодарю вас за внимание. </w:t>
      </w:r>
      <w:r w:rsidRPr="00AC4562">
        <w:rPr>
          <w:color w:val="606778"/>
          <w:sz w:val="26"/>
          <w:szCs w:val="26"/>
        </w:rPr>
        <w:t>(Аплодисменты.)</w:t>
      </w:r>
    </w:p>
    <w:p w:rsidR="00AC4562" w:rsidRPr="00AC4562" w:rsidRDefault="00AC4562" w:rsidP="00AC4562">
      <w:pPr>
        <w:pStyle w:val="a3"/>
        <w:shd w:val="clear" w:color="auto" w:fill="FEFEFE"/>
        <w:spacing w:before="0" w:beforeAutospacing="0" w:after="0" w:afterAutospacing="0"/>
        <w:ind w:left="-567" w:right="-1"/>
        <w:jc w:val="both"/>
        <w:rPr>
          <w:color w:val="020C22"/>
          <w:sz w:val="26"/>
          <w:szCs w:val="26"/>
        </w:rPr>
      </w:pPr>
      <w:r w:rsidRPr="00AC4562">
        <w:rPr>
          <w:color w:val="606778"/>
          <w:sz w:val="26"/>
          <w:szCs w:val="26"/>
        </w:rPr>
        <w:t>Звучит Гимн Российской Федерации.</w:t>
      </w:r>
    </w:p>
    <w:p w:rsidR="004037FB" w:rsidRPr="00AC4562" w:rsidRDefault="004037FB" w:rsidP="00AC4562">
      <w:pPr>
        <w:jc w:val="both"/>
        <w:rPr>
          <w:rFonts w:ascii="Times New Roman" w:hAnsi="Times New Roman" w:cs="Times New Roman"/>
        </w:rPr>
      </w:pPr>
    </w:p>
    <w:p w:rsidR="00AC4562" w:rsidRPr="00AC4562" w:rsidRDefault="00AC4562">
      <w:pPr>
        <w:jc w:val="both"/>
        <w:rPr>
          <w:rFonts w:ascii="Times New Roman" w:hAnsi="Times New Roman" w:cs="Times New Roman"/>
        </w:rPr>
      </w:pPr>
    </w:p>
    <w:sectPr w:rsidR="00AC4562" w:rsidRPr="00AC4562" w:rsidSect="00DA3B00">
      <w:pgSz w:w="11906" w:h="16838"/>
      <w:pgMar w:top="1134" w:right="849" w:bottom="1134" w:left="1418" w:header="708" w:footer="708" w:gutter="0"/>
      <w:pgBorders w:offsetFrom="page">
        <w:top w:val="twistedLines1" w:sz="18" w:space="24" w:color="1F3864" w:themeColor="accent5" w:themeShade="80"/>
        <w:left w:val="twistedLines1" w:sz="18" w:space="24" w:color="1F3864" w:themeColor="accent5" w:themeShade="80"/>
        <w:bottom w:val="twistedLines1" w:sz="18" w:space="24" w:color="1F3864" w:themeColor="accent5" w:themeShade="80"/>
        <w:right w:val="twistedLines1" w:sz="18"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FD"/>
    <w:rsid w:val="00113B20"/>
    <w:rsid w:val="00272DFD"/>
    <w:rsid w:val="003D4644"/>
    <w:rsid w:val="004037FB"/>
    <w:rsid w:val="00AC4562"/>
    <w:rsid w:val="00DA3B00"/>
    <w:rsid w:val="00F7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0DCCB-2C82-4AD4-889C-1816E2EC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iatitle">
    <w:name w:val="media__title"/>
    <w:basedOn w:val="a0"/>
    <w:rsid w:val="00AC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406">
      <w:bodyDiv w:val="1"/>
      <w:marLeft w:val="0"/>
      <w:marRight w:val="0"/>
      <w:marTop w:val="0"/>
      <w:marBottom w:val="0"/>
      <w:divBdr>
        <w:top w:val="none" w:sz="0" w:space="0" w:color="auto"/>
        <w:left w:val="none" w:sz="0" w:space="0" w:color="auto"/>
        <w:bottom w:val="none" w:sz="0" w:space="0" w:color="auto"/>
        <w:right w:val="none" w:sz="0" w:space="0" w:color="auto"/>
      </w:divBdr>
    </w:div>
    <w:div w:id="660547010">
      <w:bodyDiv w:val="1"/>
      <w:marLeft w:val="0"/>
      <w:marRight w:val="0"/>
      <w:marTop w:val="0"/>
      <w:marBottom w:val="0"/>
      <w:divBdr>
        <w:top w:val="none" w:sz="0" w:space="0" w:color="auto"/>
        <w:left w:val="none" w:sz="0" w:space="0" w:color="auto"/>
        <w:bottom w:val="none" w:sz="0" w:space="0" w:color="auto"/>
        <w:right w:val="none" w:sz="0" w:space="0" w:color="auto"/>
      </w:divBdr>
    </w:div>
    <w:div w:id="682900414">
      <w:bodyDiv w:val="1"/>
      <w:marLeft w:val="0"/>
      <w:marRight w:val="0"/>
      <w:marTop w:val="0"/>
      <w:marBottom w:val="0"/>
      <w:divBdr>
        <w:top w:val="none" w:sz="0" w:space="0" w:color="auto"/>
        <w:left w:val="none" w:sz="0" w:space="0" w:color="auto"/>
        <w:bottom w:val="none" w:sz="0" w:space="0" w:color="auto"/>
        <w:right w:val="none" w:sz="0" w:space="0" w:color="auto"/>
      </w:divBdr>
    </w:div>
    <w:div w:id="926694024">
      <w:bodyDiv w:val="1"/>
      <w:marLeft w:val="0"/>
      <w:marRight w:val="0"/>
      <w:marTop w:val="0"/>
      <w:marBottom w:val="0"/>
      <w:divBdr>
        <w:top w:val="none" w:sz="0" w:space="0" w:color="auto"/>
        <w:left w:val="none" w:sz="0" w:space="0" w:color="auto"/>
        <w:bottom w:val="none" w:sz="0" w:space="0" w:color="auto"/>
        <w:right w:val="none" w:sz="0" w:space="0" w:color="auto"/>
      </w:divBdr>
    </w:div>
    <w:div w:id="985358067">
      <w:bodyDiv w:val="1"/>
      <w:marLeft w:val="0"/>
      <w:marRight w:val="0"/>
      <w:marTop w:val="0"/>
      <w:marBottom w:val="0"/>
      <w:divBdr>
        <w:top w:val="none" w:sz="0" w:space="0" w:color="auto"/>
        <w:left w:val="none" w:sz="0" w:space="0" w:color="auto"/>
        <w:bottom w:val="none" w:sz="0" w:space="0" w:color="auto"/>
        <w:right w:val="none" w:sz="0" w:space="0" w:color="auto"/>
      </w:divBdr>
    </w:div>
    <w:div w:id="1286079805">
      <w:bodyDiv w:val="1"/>
      <w:marLeft w:val="0"/>
      <w:marRight w:val="0"/>
      <w:marTop w:val="0"/>
      <w:marBottom w:val="0"/>
      <w:divBdr>
        <w:top w:val="none" w:sz="0" w:space="0" w:color="auto"/>
        <w:left w:val="none" w:sz="0" w:space="0" w:color="auto"/>
        <w:bottom w:val="none" w:sz="0" w:space="0" w:color="auto"/>
        <w:right w:val="none" w:sz="0" w:space="0" w:color="auto"/>
      </w:divBdr>
    </w:div>
    <w:div w:id="1449932818">
      <w:bodyDiv w:val="1"/>
      <w:marLeft w:val="0"/>
      <w:marRight w:val="0"/>
      <w:marTop w:val="0"/>
      <w:marBottom w:val="0"/>
      <w:divBdr>
        <w:top w:val="none" w:sz="0" w:space="0" w:color="auto"/>
        <w:left w:val="none" w:sz="0" w:space="0" w:color="auto"/>
        <w:bottom w:val="none" w:sz="0" w:space="0" w:color="auto"/>
        <w:right w:val="none" w:sz="0" w:space="0" w:color="auto"/>
      </w:divBdr>
      <w:divsChild>
        <w:div w:id="1380864608">
          <w:marLeft w:val="2100"/>
          <w:marRight w:val="2100"/>
          <w:marTop w:val="0"/>
          <w:marBottom w:val="360"/>
          <w:divBdr>
            <w:top w:val="none" w:sz="0" w:space="0" w:color="auto"/>
            <w:left w:val="none" w:sz="0" w:space="0" w:color="auto"/>
            <w:bottom w:val="none" w:sz="0" w:space="0" w:color="auto"/>
            <w:right w:val="none" w:sz="0" w:space="0" w:color="auto"/>
          </w:divBdr>
        </w:div>
      </w:divsChild>
    </w:div>
    <w:div w:id="1690597060">
      <w:bodyDiv w:val="1"/>
      <w:marLeft w:val="0"/>
      <w:marRight w:val="0"/>
      <w:marTop w:val="0"/>
      <w:marBottom w:val="0"/>
      <w:divBdr>
        <w:top w:val="none" w:sz="0" w:space="0" w:color="auto"/>
        <w:left w:val="none" w:sz="0" w:space="0" w:color="auto"/>
        <w:bottom w:val="none" w:sz="0" w:space="0" w:color="auto"/>
        <w:right w:val="none" w:sz="0" w:space="0" w:color="auto"/>
      </w:divBdr>
    </w:div>
    <w:div w:id="18107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Розенко Е.В.</dc:creator>
  <cp:keywords/>
  <dc:description/>
  <cp:lastModifiedBy>Розенко Е.В.</cp:lastModifiedBy>
  <cp:revision>4</cp:revision>
  <dcterms:created xsi:type="dcterms:W3CDTF">2020-01-28T00:02:00Z</dcterms:created>
  <dcterms:modified xsi:type="dcterms:W3CDTF">2020-01-28T00:31:00Z</dcterms:modified>
</cp:coreProperties>
</file>