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Администрация Завитинского района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 РАЙОН»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Информационный листок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администрации Завитинского района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38682C">
        <w:rPr>
          <w:rFonts w:ascii="Times New Roman" w:hAnsi="Times New Roman" w:cs="Times New Roman"/>
          <w:b/>
          <w:sz w:val="48"/>
          <w:szCs w:val="48"/>
        </w:rPr>
        <w:t>10</w:t>
      </w:r>
      <w:r>
        <w:rPr>
          <w:rFonts w:ascii="Times New Roman" w:hAnsi="Times New Roman" w:cs="Times New Roman"/>
          <w:b/>
          <w:sz w:val="48"/>
          <w:szCs w:val="48"/>
        </w:rPr>
        <w:t xml:space="preserve"> от </w:t>
      </w:r>
      <w:r w:rsidR="00495C58">
        <w:rPr>
          <w:rFonts w:ascii="Times New Roman" w:hAnsi="Times New Roman" w:cs="Times New Roman"/>
          <w:b/>
          <w:sz w:val="48"/>
          <w:szCs w:val="48"/>
        </w:rPr>
        <w:t>04.06.2021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распространяется бесплатно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6158" w:rsidRDefault="0038682C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июнь</w:t>
      </w:r>
      <w:r w:rsidR="00EA6158">
        <w:rPr>
          <w:rFonts w:ascii="Times New Roman" w:hAnsi="Times New Roman" w:cs="Times New Roman"/>
          <w:b/>
          <w:sz w:val="48"/>
          <w:szCs w:val="48"/>
        </w:rPr>
        <w:t>, 2021 год</w:t>
      </w: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6158" w:rsidRDefault="00EA6158" w:rsidP="00EA6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158" w:rsidRDefault="0038682C" w:rsidP="00386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A6158" w:rsidRPr="00811914">
        <w:rPr>
          <w:rFonts w:ascii="Times New Roman" w:hAnsi="Times New Roman" w:cs="Times New Roman"/>
          <w:b/>
          <w:sz w:val="28"/>
          <w:szCs w:val="28"/>
        </w:rPr>
        <w:t xml:space="preserve"> главы Завитинского района</w:t>
      </w:r>
      <w:r w:rsidR="00811914">
        <w:rPr>
          <w:rFonts w:ascii="Times New Roman" w:hAnsi="Times New Roman" w:cs="Times New Roman"/>
          <w:b/>
          <w:sz w:val="28"/>
          <w:szCs w:val="28"/>
        </w:rPr>
        <w:t>:</w:t>
      </w:r>
    </w:p>
    <w:p w:rsidR="0038682C" w:rsidRPr="00811914" w:rsidRDefault="0038682C" w:rsidP="00386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82C" w:rsidRDefault="0038682C" w:rsidP="00386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9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 от 25.05.2021</w:t>
      </w:r>
      <w:r w:rsidRPr="0038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проведении Конкурса  на лучший проект по благоустройству территорий </w:t>
      </w:r>
      <w:r w:rsidRPr="007A35F5">
        <w:rPr>
          <w:rFonts w:ascii="Times New Roman" w:hAnsi="Times New Roman"/>
          <w:sz w:val="28"/>
          <w:szCs w:val="28"/>
        </w:rPr>
        <w:t xml:space="preserve">школьных дворов </w:t>
      </w:r>
      <w:r>
        <w:rPr>
          <w:rFonts w:ascii="Times New Roman" w:hAnsi="Times New Roman"/>
          <w:sz w:val="28"/>
          <w:szCs w:val="28"/>
        </w:rPr>
        <w:t>общеобразовательных учреждений Завитинского  района»</w:t>
      </w:r>
    </w:p>
    <w:p w:rsidR="0038682C" w:rsidRDefault="0038682C" w:rsidP="00386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2C" w:rsidRDefault="0038682C" w:rsidP="0038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8682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8682C">
        <w:rPr>
          <w:rFonts w:ascii="Times New Roman" w:hAnsi="Times New Roman" w:cs="Times New Roman"/>
          <w:b/>
          <w:bCs/>
          <w:sz w:val="28"/>
          <w:szCs w:val="28"/>
        </w:rPr>
        <w:t>ерриториальн</w:t>
      </w:r>
      <w:r w:rsidR="006579B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8682C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579B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38682C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6579B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8682C">
        <w:rPr>
          <w:rFonts w:ascii="Times New Roman" w:hAnsi="Times New Roman" w:cs="Times New Roman"/>
          <w:b/>
          <w:bCs/>
          <w:sz w:val="28"/>
          <w:szCs w:val="28"/>
        </w:rPr>
        <w:t xml:space="preserve"> Завитинского </w:t>
      </w:r>
      <w:r w:rsidRPr="0038682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округа Амурской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</w:p>
    <w:p w:rsidR="0038682C" w:rsidRDefault="0038682C" w:rsidP="0038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682C" w:rsidRPr="0038682C" w:rsidRDefault="0038682C" w:rsidP="0038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2C">
        <w:rPr>
          <w:rFonts w:ascii="Times New Roman" w:hAnsi="Times New Roman" w:cs="Times New Roman"/>
          <w:sz w:val="28"/>
          <w:szCs w:val="28"/>
        </w:rPr>
        <w:t>№</w:t>
      </w:r>
      <w:r w:rsid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38682C">
        <w:rPr>
          <w:rFonts w:ascii="Times New Roman" w:hAnsi="Times New Roman" w:cs="Times New Roman"/>
          <w:sz w:val="28"/>
          <w:szCs w:val="28"/>
        </w:rPr>
        <w:t>09/50-7 от 03</w:t>
      </w:r>
      <w:r w:rsidR="006579B2">
        <w:rPr>
          <w:rFonts w:ascii="Times New Roman" w:hAnsi="Times New Roman" w:cs="Times New Roman"/>
          <w:sz w:val="28"/>
          <w:szCs w:val="28"/>
        </w:rPr>
        <w:t>.06.</w:t>
      </w:r>
      <w:r w:rsidRPr="0038682C">
        <w:rPr>
          <w:rFonts w:ascii="Times New Roman" w:hAnsi="Times New Roman" w:cs="Times New Roman"/>
          <w:sz w:val="28"/>
          <w:szCs w:val="28"/>
        </w:rPr>
        <w:t>2021 «О тексте информационного сообщения о приеме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2C">
        <w:rPr>
          <w:rFonts w:ascii="Times New Roman" w:hAnsi="Times New Roman" w:cs="Times New Roman"/>
          <w:sz w:val="28"/>
          <w:szCs w:val="28"/>
        </w:rPr>
        <w:t>по кандидатурам для дополнительного зачисления в резерв составов участковых комиссий Завитинского округа Амурской области»</w:t>
      </w:r>
    </w:p>
    <w:p w:rsidR="00811914" w:rsidRPr="00811914" w:rsidRDefault="00811914" w:rsidP="00811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14" w:rsidRPr="00811914" w:rsidRDefault="00811914" w:rsidP="00811914">
      <w:pPr>
        <w:rPr>
          <w:rFonts w:ascii="Times New Roman" w:hAnsi="Times New Roman" w:cs="Times New Roman"/>
          <w:sz w:val="28"/>
          <w:szCs w:val="28"/>
        </w:rPr>
      </w:pPr>
    </w:p>
    <w:p w:rsidR="00811914" w:rsidRPr="00811914" w:rsidRDefault="00811914" w:rsidP="008119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6158" w:rsidRDefault="00EA6158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B1" w:rsidRDefault="00DA13B1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B1" w:rsidRDefault="00DA13B1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B1" w:rsidRDefault="00DA13B1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B1" w:rsidRDefault="00DA13B1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A0" w:rsidRDefault="00B10AA0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AA0" w:rsidRDefault="00B10AA0" w:rsidP="00EA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158" w:rsidRDefault="00EA6158" w:rsidP="00EA6158"/>
    <w:p w:rsidR="007A7999" w:rsidRPr="006579B2" w:rsidRDefault="006579B2" w:rsidP="006F52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9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10AA0" w:rsidRPr="006579B2">
        <w:rPr>
          <w:rFonts w:ascii="Times New Roman" w:hAnsi="Times New Roman" w:cs="Times New Roman"/>
          <w:b/>
          <w:sz w:val="20"/>
          <w:szCs w:val="20"/>
        </w:rPr>
        <w:t>25</w:t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>.0</w:t>
      </w:r>
      <w:r w:rsidR="00B10AA0" w:rsidRPr="006579B2">
        <w:rPr>
          <w:rFonts w:ascii="Times New Roman" w:hAnsi="Times New Roman" w:cs="Times New Roman"/>
          <w:b/>
          <w:sz w:val="20"/>
          <w:szCs w:val="20"/>
        </w:rPr>
        <w:t>5</w:t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>.2021</w:t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A13B1" w:rsidRPr="006579B2">
        <w:rPr>
          <w:rFonts w:ascii="Times New Roman" w:hAnsi="Times New Roman" w:cs="Times New Roman"/>
          <w:b/>
          <w:sz w:val="20"/>
          <w:szCs w:val="20"/>
        </w:rPr>
        <w:t>№ 2</w:t>
      </w:r>
      <w:r w:rsidR="00B10AA0" w:rsidRPr="006579B2">
        <w:rPr>
          <w:rFonts w:ascii="Times New Roman" w:hAnsi="Times New Roman" w:cs="Times New Roman"/>
          <w:b/>
          <w:sz w:val="20"/>
          <w:szCs w:val="20"/>
        </w:rPr>
        <w:t>65</w:t>
      </w:r>
    </w:p>
    <w:p w:rsidR="006F529C" w:rsidRPr="006F529C" w:rsidRDefault="006F529C" w:rsidP="006F5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529C">
        <w:rPr>
          <w:rFonts w:ascii="Times New Roman" w:hAnsi="Times New Roman" w:cs="Times New Roman"/>
          <w:sz w:val="20"/>
          <w:szCs w:val="20"/>
        </w:rPr>
        <w:t>О проведении Конкурса  на лучший проект по благоустройству территорий школьных дворов общеобразовательных учреждений Завитинского  района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529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F529C">
        <w:rPr>
          <w:rFonts w:ascii="Times New Roman" w:hAnsi="Times New Roman" w:cs="Times New Roman"/>
          <w:sz w:val="20"/>
          <w:szCs w:val="20"/>
        </w:rPr>
        <w:t xml:space="preserve"> целях комплексного благоустройства территорий школьных дворов и активизации деятельности общеобразовательных учреждений Завитинского района по благоустройству территорий школьных дворов 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F529C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6F529C">
        <w:rPr>
          <w:rFonts w:ascii="Times New Roman" w:hAnsi="Times New Roman"/>
          <w:b/>
          <w:sz w:val="20"/>
          <w:szCs w:val="20"/>
        </w:rPr>
        <w:t xml:space="preserve"> о с т а н о в л я ю: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Утвердить: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1.1.Положение    «О проведении    Конкурса    на      лучший   проект   по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благоустройству территорий школьных дворов общеобразовательных учреждений Завитинского района» (далее –  Конкурс) (приложение № 1).1.2.Состав комиссии по подведению итогов Конкурса (приложение № 2).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2. Настоящее постановление подлежит официальному опубликованию.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6F529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F529C">
        <w:rPr>
          <w:rFonts w:ascii="Times New Roman" w:hAnsi="Times New Roman"/>
          <w:sz w:val="20"/>
          <w:szCs w:val="20"/>
        </w:rPr>
        <w:t xml:space="preserve"> исполнением постановления возложить на заместителя главы администрации района по социальным вопросам А.А.Татарникову.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F529C">
        <w:rPr>
          <w:rFonts w:ascii="Times New Roman" w:hAnsi="Times New Roman"/>
          <w:sz w:val="20"/>
          <w:szCs w:val="20"/>
        </w:rPr>
        <w:t xml:space="preserve">Глава Завитинского района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6F529C">
        <w:rPr>
          <w:rFonts w:ascii="Times New Roman" w:hAnsi="Times New Roman"/>
          <w:sz w:val="20"/>
          <w:szCs w:val="20"/>
        </w:rPr>
        <w:t xml:space="preserve">                                              С.С.Линевич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F529C">
        <w:rPr>
          <w:rFonts w:ascii="Times New Roman" w:hAnsi="Times New Roman"/>
          <w:sz w:val="20"/>
          <w:szCs w:val="20"/>
        </w:rPr>
        <w:t>Приложение  № 1 к постановлению главы Завитинского района от 25.05.2021 №  265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/>
          <w:sz w:val="20"/>
          <w:szCs w:val="20"/>
        </w:rPr>
        <w:t>ПОЛОЖЕНИЕ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О проведении Конкурса  на лучший проект по благоустройству территорий школьных дворов  общеобразовательных учреждений Завитинского 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/>
          <w:sz w:val="20"/>
          <w:szCs w:val="20"/>
        </w:rPr>
        <w:t>Общие положения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1.1. Настоящее Положение определяет порядок организации и проведения Конкурса на  лучший проект по благоустройству территорий школьных дворов  общеобразовательных учреждений Завитинского  района (далее - Конкурс).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1.2. Организаторами Конкурса является администрация Завитинского района Амурской области.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1.3. Участниками Конкурса являются общеобразовательные учреждения Завитинского района Амурской области.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/>
          <w:bCs/>
          <w:sz w:val="20"/>
          <w:szCs w:val="20"/>
        </w:rPr>
        <w:t>2. Цели и задачи Конкурса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F529C">
        <w:rPr>
          <w:rFonts w:ascii="Times New Roman" w:hAnsi="Times New Roman"/>
          <w:sz w:val="20"/>
          <w:szCs w:val="20"/>
        </w:rPr>
        <w:t>2.1. Конкурс проводится в целях выявления лучшего проекта по благоустройству территории школьного двора и активизации деятельности общеобразовательных учреждений Завитинского района по благоустройству территорий  школьных дворов.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 xml:space="preserve">2.2. </w:t>
      </w:r>
      <w:proofErr w:type="gramStart"/>
      <w:r w:rsidRPr="006F529C">
        <w:rPr>
          <w:rFonts w:ascii="Times New Roman" w:hAnsi="Times New Roman"/>
          <w:sz w:val="20"/>
          <w:szCs w:val="20"/>
        </w:rPr>
        <w:t>Задачами Конкурса  являются: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- вовлечение в процесс благоустройства пришкольных территорий педагогических коллективов, родительской общественности и учащихся общеобразовательных учреждений;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- выявление и продвижение инновационных нестандартных решений по формированию облика школьных дворов;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- отбор лучшего проекта по благоустройству территории общеобразовательного учреждения и выделение финансовых средств из областного и местного бюджетов в 2021 году для реализации мероприятий проекта;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- создание единого, композиционно выстроенного, эстетически оформленного пространства пришкольной территории</w:t>
      </w:r>
      <w:proofErr w:type="gramStart"/>
      <w:r w:rsidRPr="006F529C">
        <w:rPr>
          <w:rFonts w:ascii="Times New Roman" w:hAnsi="Times New Roman"/>
          <w:sz w:val="20"/>
          <w:szCs w:val="20"/>
        </w:rPr>
        <w:t>.</w:t>
      </w:r>
      <w:r w:rsidRPr="006F529C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6F529C">
        <w:rPr>
          <w:rFonts w:ascii="Times New Roman" w:hAnsi="Times New Roman"/>
          <w:b/>
          <w:bCs/>
          <w:sz w:val="20"/>
          <w:szCs w:val="20"/>
        </w:rPr>
        <w:t>роки, условия и порядок проведения Конкурса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 xml:space="preserve">Конкурс проводится в период с 26 мая 2021 года  по 15 июня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2021 года:  -  прием документов на Конкурс осуществляется с 08.00  01 июня 2021 года  до 17.00 11 июня 2021 года по адресу: г. Завитинск, ул. Курсаковская, 68, офис 1, кабинет № 6.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заседание комиссии по подведению итогов Конкурса  состоится  14 июня 2021 года в актовом зале администрации Завитинского района по адресу: г. Завитинск, ул</w:t>
      </w:r>
      <w:proofErr w:type="gramStart"/>
      <w:r w:rsidRPr="006F529C">
        <w:rPr>
          <w:rFonts w:ascii="Times New Roman" w:hAnsi="Times New Roman"/>
          <w:bCs/>
          <w:sz w:val="20"/>
          <w:szCs w:val="20"/>
        </w:rPr>
        <w:t>.К</w:t>
      </w:r>
      <w:proofErr w:type="gramEnd"/>
      <w:r w:rsidRPr="006F529C">
        <w:rPr>
          <w:rFonts w:ascii="Times New Roman" w:hAnsi="Times New Roman"/>
          <w:bCs/>
          <w:sz w:val="20"/>
          <w:szCs w:val="20"/>
        </w:rPr>
        <w:t>уйбышева ,44.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объявление итогов конкурса – 15 июня 2021 года. Проект  общеобразовательной  организации ставшей победителем, будет размещен на официальном сайте администрации Завитиского района.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3.2. От одной образовательной организации может быть подана только одна заявка. Каждая заявка на участие в конкурсном отборе регистрируется  отдельно.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3.3. Документы, поданные позже указанного в п.3.1. срока   не рассматриваются и к участию в Конкурсе не допускаются.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3.4. Работы, представляемые на Конкурс, должны содержать: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3.4.1. Заявку на участие в Конкурсе согласно приложению № 1 к настоящему Положению.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3.4.2. Описание выполненных работ и оригинальных идей, использованных в благоустройстве школьного двора.3.4.3. Проект  благоустройства школьного двора  на 2021 год в бумажном варианте  и электронном формате.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 xml:space="preserve">3.4.4. Фото -  или  видеоматериалы, фиксирующие состояние школьного двора  до принятия участия в Конкурсе.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3.5. Расходы, связанные с подготовкой и представлением конкурсных работ, несут участники Конкурса.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3.6. Комиссия  оценивает  работы, представленные на Конкурс.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3.7. Решение комиссии считается принятым, если за него проголосовало более половины его списочного состава. Решение комиссии оформляется  протоколом, который подписывается председателем и членами комиссии.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3.8 Комиссия оставляет за собой право вносить изменения и дополнения в условия проведения Конкурса.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/>
          <w:bCs/>
          <w:sz w:val="20"/>
          <w:szCs w:val="20"/>
        </w:rPr>
        <w:t>4. Критерии оценки конкурсных работ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4.1.При оценке конкурсных работ используются следующие критерии: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4.1. 1.Соответствие условиям Конкурса (0-10 баллов):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i/>
          <w:sz w:val="20"/>
          <w:szCs w:val="20"/>
        </w:rPr>
        <w:t>- соответствие перечня  видов работ комплексу мероприятий, направленных на благоустройство территорий.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4.1.2. Полнота и качество представленных материалов (0-10 баллов)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i/>
          <w:sz w:val="20"/>
          <w:szCs w:val="20"/>
        </w:rPr>
        <w:t>- соответствие перечня представленных документов п.п.1.2.и 1.3 Приложения № 2 к настоящему положению.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4.1.3.Степень обеспеченности наглядно-иллюстративными материалами (0-10 баллов)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i/>
          <w:sz w:val="20"/>
          <w:szCs w:val="20"/>
        </w:rPr>
        <w:t>- наличие чертежей, эскизов, схем, макетов, необходимых для реализации проекта по благоустройству.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4.1.4. Рациональность и экономичность проекта (0-10 баллов)</w:t>
      </w:r>
      <w:proofErr w:type="gramStart"/>
      <w:r w:rsidRPr="006F529C"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i/>
          <w:sz w:val="20"/>
          <w:szCs w:val="20"/>
        </w:rPr>
        <w:t xml:space="preserve">- </w:t>
      </w:r>
      <w:proofErr w:type="gramStart"/>
      <w:r w:rsidRPr="006F529C">
        <w:rPr>
          <w:rFonts w:ascii="Times New Roman" w:hAnsi="Times New Roman"/>
          <w:i/>
          <w:sz w:val="20"/>
          <w:szCs w:val="20"/>
        </w:rPr>
        <w:t>н</w:t>
      </w:r>
      <w:proofErr w:type="gramEnd"/>
      <w:r w:rsidRPr="006F529C">
        <w:rPr>
          <w:rFonts w:ascii="Times New Roman" w:hAnsi="Times New Roman"/>
          <w:i/>
          <w:sz w:val="20"/>
          <w:szCs w:val="20"/>
        </w:rPr>
        <w:t>аличие экономического обоснования (смета, калькуляция проекта, коммерческие предложения на все виды работ 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4.1.5. Выход на практический уровень (0-10 баллов).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В представленном проекте отражена: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i/>
          <w:sz w:val="20"/>
          <w:szCs w:val="20"/>
        </w:rPr>
        <w:t>- полная реализация проекта по благоустройству;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i/>
          <w:sz w:val="20"/>
          <w:szCs w:val="20"/>
        </w:rPr>
        <w:t>- возможность проведения работ с учетом климатической зоны.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 xml:space="preserve">4.2. Общее количество  баллов Конкурса  - 50.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Использование иных критериев оценки конкурсных материалов не допускается.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/>
          <w:bCs/>
          <w:sz w:val="20"/>
          <w:szCs w:val="20"/>
        </w:rPr>
        <w:t>Награждение победителей Конкурса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F529C">
        <w:rPr>
          <w:rFonts w:ascii="Times New Roman" w:hAnsi="Times New Roman"/>
          <w:bCs/>
          <w:sz w:val="20"/>
          <w:szCs w:val="20"/>
        </w:rPr>
        <w:t xml:space="preserve">Победителю       Конкурса      вручается      Диплом    1 степени   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предоставляется субсидия на реализацию проекта по благоустройству  территории школьного двора общеобразовательного учреждения.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 xml:space="preserve">Конкурсная комиссия вправе принимать решение о поощрении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участников Конкурса.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/>
          <w:bCs/>
          <w:sz w:val="20"/>
          <w:szCs w:val="20"/>
        </w:rPr>
        <w:t xml:space="preserve">Финансирование Конкурса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 xml:space="preserve">Финансирование     Конкурса     осуществляется    в рамках муниципальной программы 1. «Развитие образования Завитинского района» подпрограммы «Развитие дошкольного, общего и дополнительного образования детей» пункта 1.2. «Модернизация  системы общего образования». </w:t>
      </w:r>
      <w:r w:rsidRPr="006F529C">
        <w:rPr>
          <w:rFonts w:ascii="Times New Roman" w:hAnsi="Times New Roman"/>
          <w:sz w:val="20"/>
          <w:szCs w:val="20"/>
        </w:rPr>
        <w:t>Расходы на организацию и проведение мероприятий по благоустройству территорий муниципальных общеобразовательных организаций.</w:t>
      </w:r>
    </w:p>
    <w:p w:rsidR="006F529C" w:rsidRPr="00996668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F529C">
        <w:rPr>
          <w:rFonts w:ascii="Times New Roman" w:hAnsi="Times New Roman"/>
          <w:sz w:val="20"/>
          <w:szCs w:val="20"/>
        </w:rPr>
        <w:t>Приложение  № 1  к Положению «О проведении Конкурса на лучший проект по благоустройству территорий школьных дворов общеобразовательных учреждений Завитинского  района»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ЗАЯВКА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на участие в Конкурсе на лучший проект по благоустройству  территорий школьных дворов  общеобразовательных учреждений Завитинского района</w:t>
      </w:r>
      <w:proofErr w:type="gramStart"/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6F529C">
        <w:rPr>
          <w:rFonts w:ascii="Times New Roman" w:hAnsi="Times New Roman"/>
          <w:bCs/>
          <w:sz w:val="20"/>
          <w:szCs w:val="20"/>
        </w:rPr>
        <w:t xml:space="preserve"> комиссию Конкурса по благоустройству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 xml:space="preserve">территорий </w:t>
      </w:r>
      <w:r w:rsidRPr="006F529C">
        <w:rPr>
          <w:rFonts w:ascii="Times New Roman" w:hAnsi="Times New Roman"/>
          <w:sz w:val="20"/>
          <w:szCs w:val="20"/>
        </w:rPr>
        <w:t>школьных дворов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общеобразовательных учреждений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Завитинского  района</w:t>
      </w:r>
    </w:p>
    <w:tbl>
      <w:tblPr>
        <w:tblStyle w:val="aa"/>
        <w:tblW w:w="9898" w:type="dxa"/>
        <w:jc w:val="center"/>
        <w:tblLook w:val="04A0"/>
      </w:tblPr>
      <w:tblGrid>
        <w:gridCol w:w="577"/>
        <w:gridCol w:w="3960"/>
        <w:gridCol w:w="5361"/>
      </w:tblGrid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общеобразовательной организации в соответствии с Уставом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Адрес сайта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Адрес реализации проекта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Авторы, участники проекта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Сумма для реализации проекта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F529C" w:rsidRPr="006F529C" w:rsidTr="00996668">
        <w:trPr>
          <w:trHeight w:val="20"/>
          <w:jc w:val="center"/>
        </w:trPr>
        <w:tc>
          <w:tcPr>
            <w:tcW w:w="577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3960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29C">
              <w:rPr>
                <w:rFonts w:ascii="Times New Roman" w:hAnsi="Times New Roman"/>
                <w:bCs/>
                <w:sz w:val="20"/>
                <w:szCs w:val="20"/>
              </w:rPr>
              <w:t>Перечень предоставленных материалов</w:t>
            </w:r>
          </w:p>
        </w:tc>
        <w:tc>
          <w:tcPr>
            <w:tcW w:w="5361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F529C" w:rsidRPr="006F529C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>С Положением о Конкурсе, порядком проведения  и участия ознакомле</w:t>
      </w:r>
      <w:proofErr w:type="gramStart"/>
      <w:r w:rsidRPr="006F529C">
        <w:rPr>
          <w:rFonts w:ascii="Times New Roman" w:hAnsi="Times New Roman"/>
          <w:bCs/>
          <w:sz w:val="20"/>
          <w:szCs w:val="20"/>
        </w:rPr>
        <w:t>н(</w:t>
      </w:r>
      <w:proofErr w:type="gramEnd"/>
      <w:r w:rsidRPr="006F529C">
        <w:rPr>
          <w:rFonts w:ascii="Times New Roman" w:hAnsi="Times New Roman"/>
          <w:bCs/>
          <w:sz w:val="20"/>
          <w:szCs w:val="20"/>
        </w:rPr>
        <w:t>а)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>Дата заполнения___________________________________________________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 xml:space="preserve">Руководитель образовательной организации 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>______________________                                             _____________________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 xml:space="preserve">                   (подпись)                                                                                                       (ФИО)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>М.П.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F529C">
        <w:rPr>
          <w:rFonts w:ascii="Times New Roman" w:hAnsi="Times New Roman"/>
          <w:sz w:val="20"/>
          <w:szCs w:val="20"/>
        </w:rPr>
        <w:t>Приложение  № 2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к Положению «О проведении Конкурса на лучший проект по благоустройству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территорий школьных дворов  общеобразовательных учреждений Завитинского  района»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Материалы, предоставляемые для участия в Конкурсе</w:t>
      </w:r>
      <w:r w:rsidRPr="006F529C">
        <w:rPr>
          <w:rFonts w:ascii="Times New Roman" w:hAnsi="Times New Roman"/>
          <w:sz w:val="20"/>
          <w:szCs w:val="20"/>
        </w:rPr>
        <w:t xml:space="preserve"> на лучший проект по благоустройству  территорий  школьных  дворов общеобразовательных учреждений  Завитинского  района</w:t>
      </w:r>
    </w:p>
    <w:p w:rsidR="006F529C" w:rsidRPr="00996668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6F529C">
        <w:rPr>
          <w:rFonts w:ascii="Times New Roman" w:hAnsi="Times New Roman"/>
          <w:sz w:val="20"/>
          <w:szCs w:val="20"/>
        </w:rPr>
        <w:t xml:space="preserve">Для участия в Конкурсе  </w:t>
      </w:r>
      <w:proofErr w:type="gramStart"/>
      <w:r w:rsidRPr="006F529C">
        <w:rPr>
          <w:rFonts w:ascii="Times New Roman" w:hAnsi="Times New Roman"/>
          <w:sz w:val="20"/>
          <w:szCs w:val="20"/>
        </w:rPr>
        <w:t>предоставляются  следующие  документы</w:t>
      </w:r>
      <w:proofErr w:type="gramEnd"/>
      <w:r w:rsidRPr="006F529C">
        <w:rPr>
          <w:rFonts w:ascii="Times New Roman" w:hAnsi="Times New Roman"/>
          <w:sz w:val="20"/>
          <w:szCs w:val="20"/>
        </w:rPr>
        <w:t>: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Проект благоустройства территории школьного двора: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529C">
        <w:rPr>
          <w:rFonts w:ascii="Times New Roman" w:hAnsi="Times New Roman"/>
          <w:bCs/>
          <w:sz w:val="20"/>
          <w:szCs w:val="20"/>
        </w:rPr>
        <w:t>Структура проекта: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название проекта;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руководитель и исполнители проекта;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актуальность проблемы;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цели и задачи;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ожидаемые результаты реализации проекта;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сроки реализации проекта;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материалы и инструменты для реализации проекта.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1.2.Проект должен содержать: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план  существующей территории школьного двора (до реализации проекта);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- план территории с описанием предполагаемых   видов работ, направленных на благоустройство территории школьного двора;</w:t>
      </w:r>
      <w:proofErr w:type="gramEnd"/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 xml:space="preserve">- перечень видов работ. </w:t>
      </w:r>
      <w:proofErr w:type="gramStart"/>
      <w:r w:rsidRPr="006F529C">
        <w:rPr>
          <w:rFonts w:ascii="Times New Roman" w:hAnsi="Times New Roman"/>
          <w:bCs/>
          <w:sz w:val="20"/>
          <w:szCs w:val="20"/>
        </w:rPr>
        <w:t>Проект может включать следующие виды работ: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устройство малых архитектурных форм (скульптура, фонтаны, вазы, декоративные водоемы, цветочницы, скамейки,</w:t>
      </w:r>
      <w:r w:rsidR="0099666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урны, беседки и т.д.)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устройство, ремонт покрытий тротуаров и проездов;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устройство, ремонт освещения прилегающей территории;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приобретение материала для устройства ландшафтного дизайна;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ремонт отмостки;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ремонт системы водоотведения;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i/>
          <w:sz w:val="20"/>
          <w:szCs w:val="20"/>
        </w:rPr>
        <w:t>- озеленение территории;</w:t>
      </w:r>
      <w:proofErr w:type="gramEnd"/>
    </w:p>
    <w:p w:rsidR="006F529C" w:rsidRPr="00996668" w:rsidRDefault="006F529C" w:rsidP="006F529C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6F529C">
        <w:rPr>
          <w:rFonts w:ascii="Times New Roman" w:hAnsi="Times New Roman"/>
          <w:bCs/>
          <w:sz w:val="20"/>
          <w:szCs w:val="20"/>
        </w:rPr>
        <w:t>- чертежи, эскизы, схемы, необходимые для реализации проекта по благоустройству территории школьного двора.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1.3. Экономическое обоснование (смета, калькуляция проекта, коммерческие предложения).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bCs/>
          <w:sz w:val="20"/>
          <w:szCs w:val="20"/>
        </w:rPr>
        <w:t>1.4. Презентация проекта.</w:t>
      </w:r>
      <w:r w:rsidR="00996668">
        <w:rPr>
          <w:rFonts w:ascii="Times New Roman" w:hAnsi="Times New Roman"/>
          <w:bCs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 xml:space="preserve">Приложение  № 2  к постановлению главы 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Завитинского района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от 25.05.2021 №  265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Состав</w:t>
      </w:r>
      <w:r w:rsidR="00996668">
        <w:rPr>
          <w:rFonts w:ascii="Times New Roman" w:hAnsi="Times New Roman"/>
          <w:sz w:val="20"/>
          <w:szCs w:val="20"/>
        </w:rPr>
        <w:t xml:space="preserve"> </w:t>
      </w:r>
      <w:r w:rsidRPr="006F529C">
        <w:rPr>
          <w:rFonts w:ascii="Times New Roman" w:hAnsi="Times New Roman"/>
          <w:sz w:val="20"/>
          <w:szCs w:val="20"/>
        </w:rPr>
        <w:t>комиссии по подведению итогов Конкурса на лучший проект по благоустройству территорий школьных дворов общеобразовательных учреждений Завитинского  района</w:t>
      </w: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Линевич Сергей Сергеевич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глава Завитинского района, председатель  комиссии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Мацкан Андрей Николаевич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первый заместитель главы администрации района, заместитель председателя комиссии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Татарникова Анна Александровна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заместитель главы администрации района по социальным вопросам, заместитель председателя комиссии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 xml:space="preserve">Безносюк Анна Сергеевна 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главный специалист отдела архитектуры и градостроительства  администрации  района, секретарь  комиссии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Афанасьева Светлана Владимировна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 xml:space="preserve">- председатель Общественного Совета при администрации Завитинского района 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Доля Татьяна Анатольевна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начальник отдела образования администрации Завитинского района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Ломако Павел Викторович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заместитель главы администрации района по муниципальному хозяйству</w:t>
            </w:r>
          </w:p>
        </w:tc>
      </w:tr>
      <w:tr w:rsidR="006F529C" w:rsidRPr="006F529C" w:rsidTr="00F63BF6">
        <w:tc>
          <w:tcPr>
            <w:tcW w:w="3652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Павлюк Виктория Николаевна</w:t>
            </w:r>
          </w:p>
        </w:tc>
        <w:tc>
          <w:tcPr>
            <w:tcW w:w="5919" w:type="dxa"/>
          </w:tcPr>
          <w:p w:rsidR="006F529C" w:rsidRPr="006F529C" w:rsidRDefault="006F529C" w:rsidP="006F529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9C">
              <w:rPr>
                <w:rFonts w:ascii="Times New Roman" w:hAnsi="Times New Roman"/>
                <w:sz w:val="20"/>
                <w:szCs w:val="20"/>
              </w:rPr>
              <w:t>- начальник отдела архитектуры и градостроительства администрации района</w:t>
            </w:r>
          </w:p>
        </w:tc>
      </w:tr>
    </w:tbl>
    <w:p w:rsidR="006F529C" w:rsidRPr="006F529C" w:rsidRDefault="006F529C" w:rsidP="006F529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6579B2" w:rsidRPr="006579B2" w:rsidRDefault="006579B2" w:rsidP="009966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79B2">
        <w:rPr>
          <w:rFonts w:ascii="Times New Roman" w:hAnsi="Times New Roman" w:cs="Times New Roman"/>
          <w:b/>
          <w:bCs/>
          <w:sz w:val="20"/>
          <w:szCs w:val="20"/>
        </w:rPr>
        <w:t xml:space="preserve">Решение территориальной избирательной комиссии Завитинского </w:t>
      </w:r>
      <w:r w:rsidRPr="006579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округа Амурской области</w:t>
      </w:r>
      <w:r w:rsidRPr="006579B2">
        <w:rPr>
          <w:rFonts w:ascii="Times New Roman" w:hAnsi="Times New Roman" w:cs="Times New Roman"/>
          <w:b/>
          <w:sz w:val="20"/>
          <w:szCs w:val="20"/>
        </w:rPr>
        <w:t xml:space="preserve"> от 03.06.2021 № 09/50-7</w:t>
      </w:r>
    </w:p>
    <w:p w:rsidR="00996668" w:rsidRDefault="00996668" w:rsidP="00996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668">
        <w:rPr>
          <w:rFonts w:ascii="Times New Roman" w:hAnsi="Times New Roman" w:cs="Times New Roman"/>
          <w:b/>
          <w:sz w:val="20"/>
          <w:szCs w:val="20"/>
        </w:rPr>
        <w:t>О тексте информационного сообщения о приеме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по кандидатурам для дополнительного зачисления в резерв составов участковых комиссий Завитинского </w:t>
      </w:r>
      <w:r w:rsidRPr="0099666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 Амурской области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6668">
        <w:rPr>
          <w:rFonts w:ascii="Times New Roman" w:hAnsi="Times New Roman" w:cs="Times New Roman"/>
          <w:sz w:val="20"/>
          <w:szCs w:val="20"/>
        </w:rPr>
        <w:t xml:space="preserve"> соответствии с положениями статей 22 и 27 Федерального закона</w:t>
      </w:r>
      <w:r w:rsidRPr="00996668">
        <w:rPr>
          <w:rFonts w:ascii="Times New Roman" w:hAnsi="Times New Roman" w:cs="Times New Roman"/>
          <w:color w:val="000000"/>
          <w:sz w:val="20"/>
          <w:szCs w:val="20"/>
        </w:rPr>
        <w:t xml:space="preserve"> от 12 июня 2002 года №67-ФЗ</w:t>
      </w:r>
      <w:r w:rsidRPr="00996668">
        <w:rPr>
          <w:rFonts w:ascii="Times New Roman" w:hAnsi="Times New Roman" w:cs="Times New Roman"/>
          <w:sz w:val="20"/>
          <w:szCs w:val="20"/>
        </w:rPr>
        <w:t xml:space="preserve"> «Об основных гарантиях избирательных прав и права на участие в референдуме граждан Российской Федерации», пунктами 11,14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№152/1137-6, 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территориальная избирательная комиссия Завитинского </w:t>
      </w:r>
      <w:r w:rsidRPr="0099666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округа 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Амурской области решила: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1. Утвердить текст информационного сообщения о приеме предложений по кандидатурам для дополнительного зачисления в резерв составов участковых комиссий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sz w:val="20"/>
          <w:szCs w:val="20"/>
        </w:rPr>
        <w:t xml:space="preserve"> Амурской области (прилагается).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2. Направить настоящее решение в избирательную комиссию Амурской области.3. Опубликовать информационное сообщение о приеме предложений по кандидатурам для дополнительного зачисления в резерв составов участковых комиссий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sz w:val="20"/>
          <w:szCs w:val="20"/>
        </w:rPr>
        <w:t xml:space="preserve"> Амурской области в информационном листке администрации Завитинского района «Наш район».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96668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996668">
        <w:rPr>
          <w:rFonts w:ascii="Times New Roman" w:hAnsi="Times New Roman" w:cs="Times New Roman"/>
          <w:sz w:val="20"/>
          <w:szCs w:val="20"/>
        </w:rPr>
        <w:t xml:space="preserve"> настоящее решение на официальном сайте администрации района в информационно-телекоммуникационной сети «Интернет» на странице территориальной избирательной комиссии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 Амурской области</w:t>
      </w:r>
      <w:r w:rsidRPr="0099666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99666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96668">
        <w:rPr>
          <w:rFonts w:ascii="Times New Roman" w:hAnsi="Times New Roman" w:cs="Times New Roman"/>
          <w:sz w:val="20"/>
          <w:szCs w:val="20"/>
        </w:rPr>
        <w:t xml:space="preserve"> выполнением настоящего решения возложить на председателя территориальной избирательной комиссии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 Амурской области</w:t>
      </w:r>
      <w:r w:rsidRPr="00996668">
        <w:rPr>
          <w:rFonts w:ascii="Times New Roman" w:hAnsi="Times New Roman" w:cs="Times New Roman"/>
          <w:sz w:val="20"/>
          <w:szCs w:val="20"/>
        </w:rPr>
        <w:t xml:space="preserve"> О.Н. Левицкую.</w:t>
      </w:r>
    </w:p>
    <w:p w:rsidR="006579B2" w:rsidRPr="00996668" w:rsidRDefault="006579B2" w:rsidP="00996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668">
        <w:rPr>
          <w:rFonts w:ascii="Times New Roman" w:hAnsi="Times New Roman" w:cs="Times New Roman"/>
          <w:sz w:val="20"/>
          <w:szCs w:val="20"/>
        </w:rPr>
        <w:t xml:space="preserve">Председатель избирательной комиссии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96668">
        <w:rPr>
          <w:rFonts w:ascii="Times New Roman" w:hAnsi="Times New Roman" w:cs="Times New Roman"/>
          <w:sz w:val="20"/>
          <w:szCs w:val="20"/>
        </w:rPr>
        <w:t>О.Н. Левицкая</w:t>
      </w:r>
    </w:p>
    <w:tbl>
      <w:tblPr>
        <w:tblW w:w="0" w:type="auto"/>
        <w:tblLayout w:type="fixed"/>
        <w:tblLook w:val="0000"/>
      </w:tblPr>
      <w:tblGrid>
        <w:gridCol w:w="3528"/>
        <w:gridCol w:w="3612"/>
        <w:gridCol w:w="2430"/>
        <w:gridCol w:w="1170"/>
      </w:tblGrid>
      <w:tr w:rsidR="00996668" w:rsidRPr="00996668" w:rsidTr="00F63BF6">
        <w:trPr>
          <w:gridAfter w:val="1"/>
          <w:wAfter w:w="1170" w:type="dxa"/>
        </w:trPr>
        <w:tc>
          <w:tcPr>
            <w:tcW w:w="3528" w:type="dxa"/>
            <w:shd w:val="clear" w:color="auto" w:fill="auto"/>
          </w:tcPr>
          <w:p w:rsidR="00996668" w:rsidRPr="00996668" w:rsidRDefault="00996668" w:rsidP="0065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shd w:val="clear" w:color="auto" w:fill="auto"/>
          </w:tcPr>
          <w:p w:rsidR="00996668" w:rsidRPr="00996668" w:rsidRDefault="00996668" w:rsidP="00996668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96668" w:rsidRPr="00996668" w:rsidRDefault="00996668" w:rsidP="00996668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668" w:rsidRPr="00996668" w:rsidRDefault="00996668" w:rsidP="0099666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668" w:rsidRPr="00996668" w:rsidTr="006579B2">
        <w:trPr>
          <w:gridAfter w:val="1"/>
          <w:wAfter w:w="1170" w:type="dxa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996668" w:rsidRPr="00996668" w:rsidRDefault="00996668" w:rsidP="009966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:rsidR="00996668" w:rsidRPr="00996668" w:rsidRDefault="00996668" w:rsidP="00996668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96668" w:rsidRPr="00996668" w:rsidRDefault="00996668" w:rsidP="00996668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668" w:rsidRPr="00996668" w:rsidTr="006579B2">
        <w:trPr>
          <w:trHeight w:val="68"/>
        </w:trPr>
        <w:tc>
          <w:tcPr>
            <w:tcW w:w="3528" w:type="dxa"/>
            <w:shd w:val="clear" w:color="auto" w:fill="auto"/>
          </w:tcPr>
          <w:p w:rsidR="00996668" w:rsidRPr="00996668" w:rsidRDefault="00996668" w:rsidP="006579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sz w:val="20"/>
                <w:szCs w:val="20"/>
              </w:rPr>
              <w:t>Секретарь избирательной комиссии</w:t>
            </w:r>
          </w:p>
        </w:tc>
        <w:tc>
          <w:tcPr>
            <w:tcW w:w="3612" w:type="dxa"/>
            <w:shd w:val="clear" w:color="auto" w:fill="auto"/>
          </w:tcPr>
          <w:p w:rsidR="00996668" w:rsidRPr="00996668" w:rsidRDefault="00996668" w:rsidP="00996668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996668" w:rsidRPr="00996668" w:rsidRDefault="00996668" w:rsidP="006579B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9B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99666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579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96668">
              <w:rPr>
                <w:rFonts w:ascii="Times New Roman" w:hAnsi="Times New Roman" w:cs="Times New Roman"/>
                <w:sz w:val="20"/>
                <w:szCs w:val="20"/>
              </w:rPr>
              <w:t>М.В. Иванченко</w:t>
            </w:r>
          </w:p>
        </w:tc>
      </w:tr>
    </w:tbl>
    <w:p w:rsidR="00996668" w:rsidRPr="00996668" w:rsidRDefault="00996668" w:rsidP="009966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668">
        <w:rPr>
          <w:rFonts w:ascii="Times New Roman" w:hAnsi="Times New Roman" w:cs="Times New Roman"/>
          <w:sz w:val="20"/>
          <w:szCs w:val="20"/>
        </w:rPr>
        <w:t>УТВЕРЖДЕНО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решением территориальной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>Амурской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 xml:space="preserve">от 03 июня 2021 г. №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09/50-7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Информационное сообщение территориальной избирательной комиссии Завитинского </w:t>
      </w:r>
      <w:r w:rsidRPr="0099666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 Амурской области о приеме предложений по кандидатурам для дополнительного зачисления в резерв составов участковых комиссий Завитинского </w:t>
      </w:r>
      <w:r w:rsidRPr="0099666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b/>
          <w:sz w:val="20"/>
          <w:szCs w:val="20"/>
        </w:rPr>
        <w:t xml:space="preserve"> Амурской области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666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96668">
        <w:rPr>
          <w:rFonts w:ascii="Times New Roman" w:hAnsi="Times New Roman" w:cs="Times New Roman"/>
          <w:sz w:val="20"/>
          <w:szCs w:val="20"/>
        </w:rPr>
        <w:t xml:space="preserve"> соответствии с положениями статей 22 и 27 Федерального закона «Об основных гарантиях избирательных прав и права на </w:t>
      </w:r>
      <w:proofErr w:type="gramStart"/>
      <w:r w:rsidRPr="00996668">
        <w:rPr>
          <w:rFonts w:ascii="Times New Roman" w:hAnsi="Times New Roman" w:cs="Times New Roman"/>
          <w:sz w:val="20"/>
          <w:szCs w:val="20"/>
        </w:rPr>
        <w:t xml:space="preserve">участие в референдуме граждан Российской Федерации», пунктами 11,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№152/1137-6,  территориальная избирательная комиссия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sz w:val="20"/>
          <w:szCs w:val="20"/>
        </w:rPr>
        <w:t xml:space="preserve"> Амурской области объявляет прием предложений по кандидатурам для  дополнительного зачисления в резерв составов участковых комиссий</w:t>
      </w:r>
      <w:proofErr w:type="gramEnd"/>
      <w:r w:rsidRPr="00996668">
        <w:rPr>
          <w:rFonts w:ascii="Times New Roman" w:hAnsi="Times New Roman" w:cs="Times New Roman"/>
          <w:sz w:val="20"/>
          <w:szCs w:val="20"/>
        </w:rPr>
        <w:t xml:space="preserve">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sz w:val="20"/>
          <w:szCs w:val="20"/>
        </w:rPr>
        <w:t xml:space="preserve"> Амурской области. Прием документов осуществляется территориальной избирательной комиссией Завитинского </w:t>
      </w:r>
      <w:r w:rsidRPr="00996668">
        <w:rPr>
          <w:rFonts w:ascii="Times New Roman" w:eastAsia="Times New Roman" w:hAnsi="Times New Roman" w:cs="Times New Roman"/>
          <w:sz w:val="20"/>
          <w:szCs w:val="20"/>
          <w:lang w:eastAsia="zh-CN"/>
        </w:rPr>
        <w:t>округа</w:t>
      </w:r>
      <w:r w:rsidRPr="00996668">
        <w:rPr>
          <w:rFonts w:ascii="Times New Roman" w:hAnsi="Times New Roman" w:cs="Times New Roman"/>
          <w:sz w:val="20"/>
          <w:szCs w:val="20"/>
        </w:rPr>
        <w:t xml:space="preserve"> Амурской области в рабочие дни – с 14.00 часов до 18.00 часов (суббота, воскресенье, праздничные дни – выходной), в сроки и по адресу: </w:t>
      </w:r>
    </w:p>
    <w:tbl>
      <w:tblPr>
        <w:tblW w:w="0" w:type="auto"/>
        <w:jc w:val="center"/>
        <w:tblLayout w:type="fixed"/>
        <w:tblLook w:val="0000"/>
      </w:tblPr>
      <w:tblGrid>
        <w:gridCol w:w="4400"/>
        <w:gridCol w:w="2769"/>
        <w:gridCol w:w="3266"/>
      </w:tblGrid>
      <w:tr w:rsidR="00996668" w:rsidRPr="00996668" w:rsidTr="00996668">
        <w:trPr>
          <w:trHeight w:val="20"/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gramStart"/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территориальной</w:t>
            </w:r>
            <w:proofErr w:type="gramEnd"/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комиссии, куда следует</w:t>
            </w:r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представлять документы по выдвижению кандидатур </w:t>
            </w:r>
            <w:proofErr w:type="gramStart"/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резерв составов участковых комиссий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 предложений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 набор </w:t>
            </w:r>
            <w:proofErr w:type="gramStart"/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 составов  участковых комиссий избирательных участков </w:t>
            </w:r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</w:tr>
      <w:tr w:rsidR="00996668" w:rsidRPr="00996668" w:rsidTr="00996668">
        <w:trPr>
          <w:trHeight w:val="20"/>
          <w:jc w:val="center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sz w:val="20"/>
                <w:szCs w:val="20"/>
              </w:rPr>
              <w:t>Амурская область,</w:t>
            </w:r>
          </w:p>
          <w:p w:rsidR="00996668" w:rsidRPr="00996668" w:rsidRDefault="00996668" w:rsidP="0099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668">
              <w:rPr>
                <w:rFonts w:ascii="Times New Roman" w:hAnsi="Times New Roman" w:cs="Times New Roman"/>
                <w:sz w:val="20"/>
                <w:szCs w:val="20"/>
              </w:rPr>
              <w:t>город Завитинск,</w:t>
            </w:r>
          </w:p>
          <w:p w:rsidR="00996668" w:rsidRPr="00996668" w:rsidRDefault="00996668" w:rsidP="00996668">
            <w:pPr>
              <w:pStyle w:val="ac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96668">
              <w:rPr>
                <w:sz w:val="20"/>
                <w:szCs w:val="20"/>
                <w:lang w:eastAsia="en-US"/>
              </w:rPr>
              <w:t>улица Куйбышева, 44,</w:t>
            </w:r>
          </w:p>
          <w:p w:rsidR="00996668" w:rsidRPr="00996668" w:rsidRDefault="00996668" w:rsidP="00996668">
            <w:pPr>
              <w:pStyle w:val="ac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96668">
              <w:rPr>
                <w:sz w:val="20"/>
                <w:szCs w:val="20"/>
                <w:lang w:eastAsia="en-US"/>
              </w:rPr>
              <w:t>кабинет 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8" w:rsidRPr="00996668" w:rsidRDefault="00996668" w:rsidP="00996668">
            <w:pPr>
              <w:pStyle w:val="ac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96668">
              <w:rPr>
                <w:sz w:val="20"/>
                <w:szCs w:val="20"/>
                <w:lang w:eastAsia="en-US"/>
              </w:rPr>
              <w:t>с 07 июня 2021 г. по   25 июня 2021 г.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68" w:rsidRPr="00996668" w:rsidRDefault="00996668" w:rsidP="00996668">
            <w:pPr>
              <w:pStyle w:val="ac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96668">
              <w:rPr>
                <w:color w:val="000000"/>
                <w:sz w:val="20"/>
                <w:szCs w:val="20"/>
              </w:rPr>
              <w:t>503, 506, 508, 512-520</w:t>
            </w:r>
          </w:p>
        </w:tc>
      </w:tr>
    </w:tbl>
    <w:p w:rsidR="00996668" w:rsidRPr="00996668" w:rsidRDefault="00996668" w:rsidP="00996668">
      <w:pPr>
        <w:pStyle w:val="ac"/>
        <w:spacing w:after="0"/>
        <w:ind w:left="0"/>
        <w:jc w:val="both"/>
        <w:rPr>
          <w:sz w:val="20"/>
          <w:szCs w:val="20"/>
        </w:rPr>
      </w:pPr>
      <w:bookmarkStart w:id="0" w:name="sub_115"/>
      <w:proofErr w:type="gramStart"/>
      <w:r w:rsidRPr="00996668">
        <w:rPr>
          <w:b/>
          <w:sz w:val="20"/>
          <w:szCs w:val="20"/>
        </w:rPr>
        <w:t>Дополнительное зачисление в резерв составов участковых комиссий осуществляется на основе предложений:</w:t>
      </w:r>
      <w:bookmarkStart w:id="1" w:name="sub_1151"/>
      <w:bookmarkEnd w:id="0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  <w:bookmarkStart w:id="2" w:name="sub_1152"/>
      <w:bookmarkEnd w:id="1"/>
      <w:proofErr w:type="gramEnd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  <w:bookmarkStart w:id="3" w:name="sub_1153"/>
      <w:bookmarkEnd w:id="2"/>
      <w:r>
        <w:rPr>
          <w:sz w:val="20"/>
          <w:szCs w:val="20"/>
        </w:rPr>
        <w:t xml:space="preserve"> </w:t>
      </w:r>
      <w:proofErr w:type="gramStart"/>
      <w:r w:rsidRPr="00996668">
        <w:rPr>
          <w:sz w:val="20"/>
          <w:szCs w:val="20"/>
        </w:rPr>
        <w:t>3) 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  <w:bookmarkStart w:id="4" w:name="sub_1154"/>
      <w:bookmarkEnd w:id="3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4) собраний избирателей по месту жительства, работы, службы, учебы;</w:t>
      </w:r>
      <w:bookmarkStart w:id="5" w:name="sub_1155"/>
      <w:bookmarkEnd w:id="4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5) представительных органов муниципальных образований.</w:t>
      </w:r>
      <w:bookmarkEnd w:id="5"/>
      <w:proofErr w:type="gramEnd"/>
      <w:r>
        <w:rPr>
          <w:sz w:val="20"/>
          <w:szCs w:val="20"/>
        </w:rPr>
        <w:t xml:space="preserve"> </w:t>
      </w:r>
      <w:r w:rsidRPr="00996668">
        <w:rPr>
          <w:b/>
          <w:sz w:val="20"/>
          <w:szCs w:val="20"/>
        </w:rPr>
        <w:t>При внесении предложения (предложений) по кандидатурам</w:t>
      </w:r>
      <w:r w:rsidRPr="00996668">
        <w:rPr>
          <w:sz w:val="20"/>
          <w:szCs w:val="20"/>
        </w:rPr>
        <w:t xml:space="preserve"> для дополнительного зачисления в резерв составов участковых комиссий </w:t>
      </w:r>
      <w:r w:rsidRPr="00996668">
        <w:rPr>
          <w:b/>
          <w:sz w:val="20"/>
          <w:szCs w:val="20"/>
        </w:rPr>
        <w:t>необходимо представить следующие документы.</w:t>
      </w:r>
      <w:r>
        <w:rPr>
          <w:sz w:val="20"/>
          <w:szCs w:val="20"/>
        </w:rPr>
        <w:t xml:space="preserve"> </w:t>
      </w:r>
      <w:proofErr w:type="gramStart"/>
      <w:r w:rsidRPr="00996668">
        <w:rPr>
          <w:b/>
          <w:sz w:val="20"/>
          <w:szCs w:val="20"/>
        </w:rPr>
        <w:t>Для политических партий, их региональных отделений, иных структурных подразделений:</w:t>
      </w:r>
      <w:r w:rsidR="009F52AA">
        <w:rPr>
          <w:b/>
          <w:sz w:val="20"/>
          <w:szCs w:val="20"/>
        </w:rPr>
        <w:t xml:space="preserve"> </w:t>
      </w:r>
      <w:r w:rsidRPr="00996668">
        <w:rPr>
          <w:sz w:val="20"/>
          <w:szCs w:val="20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б) если предложение о кандидатурах вносит региональное отделение, иное структурное подразделение политической партии, а в уставе</w:t>
      </w:r>
      <w:proofErr w:type="gramEnd"/>
      <w:r w:rsidRPr="00996668">
        <w:rPr>
          <w:sz w:val="20"/>
          <w:szCs w:val="20"/>
        </w:rPr>
        <w:t xml:space="preserve"> </w:t>
      </w:r>
      <w:proofErr w:type="gramStart"/>
      <w:r w:rsidRPr="00996668">
        <w:rPr>
          <w:sz w:val="20"/>
          <w:szCs w:val="20"/>
        </w:rPr>
        <w:t>политической партии не предусмотрена возможность такого внесения, - решение органа</w:t>
      </w:r>
      <w:proofErr w:type="gramEnd"/>
      <w:r w:rsidRPr="00996668">
        <w:rPr>
          <w:sz w:val="20"/>
          <w:szCs w:val="20"/>
        </w:rPr>
        <w:t xml:space="preserve">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 комиссий о делегировании указанных полномочий, </w:t>
      </w:r>
      <w:proofErr w:type="gramStart"/>
      <w:r w:rsidRPr="00996668">
        <w:rPr>
          <w:sz w:val="20"/>
          <w:szCs w:val="20"/>
        </w:rPr>
        <w:t>оформленное</w:t>
      </w:r>
      <w:proofErr w:type="gramEnd"/>
      <w:r w:rsidRPr="00996668">
        <w:rPr>
          <w:sz w:val="20"/>
          <w:szCs w:val="20"/>
        </w:rPr>
        <w:t xml:space="preserve"> в соответствии с требованиями устава.</w:t>
      </w:r>
      <w:r>
        <w:rPr>
          <w:sz w:val="20"/>
          <w:szCs w:val="20"/>
        </w:rPr>
        <w:t xml:space="preserve"> </w:t>
      </w:r>
      <w:proofErr w:type="gramStart"/>
      <w:r w:rsidRPr="00996668">
        <w:rPr>
          <w:b/>
          <w:sz w:val="20"/>
          <w:szCs w:val="20"/>
        </w:rPr>
        <w:t>Для иных общественных объединений: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б)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</w:t>
      </w:r>
      <w:proofErr w:type="gramEnd"/>
      <w:r w:rsidRPr="00996668">
        <w:rPr>
          <w:sz w:val="20"/>
          <w:szCs w:val="20"/>
        </w:rPr>
        <w:t xml:space="preserve"> </w:t>
      </w:r>
      <w:proofErr w:type="gramStart"/>
      <w:r w:rsidRPr="00996668">
        <w:rPr>
          <w:sz w:val="20"/>
          <w:szCs w:val="20"/>
        </w:rPr>
        <w:t>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</w:t>
      </w:r>
      <w:proofErr w:type="gramEnd"/>
      <w:r w:rsidRPr="00996668">
        <w:rPr>
          <w:sz w:val="20"/>
          <w:szCs w:val="20"/>
        </w:rPr>
        <w:t xml:space="preserve">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  <w:r>
        <w:rPr>
          <w:sz w:val="20"/>
          <w:szCs w:val="20"/>
        </w:rPr>
        <w:t xml:space="preserve"> </w:t>
      </w:r>
      <w:r w:rsidRPr="00996668">
        <w:rPr>
          <w:b/>
          <w:sz w:val="20"/>
          <w:szCs w:val="20"/>
        </w:rPr>
        <w:t>Для иных субъектов права внесения кандидатур</w:t>
      </w:r>
      <w:r w:rsidRPr="00996668">
        <w:rPr>
          <w:sz w:val="20"/>
          <w:szCs w:val="20"/>
        </w:rPr>
        <w:t xml:space="preserve"> </w:t>
      </w:r>
      <w:r w:rsidRPr="00996668">
        <w:rPr>
          <w:b/>
          <w:sz w:val="20"/>
          <w:szCs w:val="20"/>
        </w:rPr>
        <w:t>в резерв составов участковых  комиссий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  <w:r>
        <w:rPr>
          <w:sz w:val="20"/>
          <w:szCs w:val="20"/>
        </w:rPr>
        <w:t xml:space="preserve"> </w:t>
      </w:r>
      <w:proofErr w:type="gramStart"/>
      <w:r w:rsidRPr="00996668">
        <w:rPr>
          <w:sz w:val="20"/>
          <w:szCs w:val="20"/>
        </w:rPr>
        <w:t xml:space="preserve">Кроме того, </w:t>
      </w:r>
      <w:r w:rsidRPr="00996668">
        <w:rPr>
          <w:b/>
          <w:sz w:val="20"/>
          <w:szCs w:val="20"/>
        </w:rPr>
        <w:t>всеми субъектами права внесения кандидатур должны быть представлены</w:t>
      </w:r>
      <w:r w:rsidRPr="0099666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а)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согласно приложения №1 к Постановлению ЦИК России от 05.12.2012 № 152/1137-6 (в редакции постановления ЦИК России от 10.06.2015 №286/1680-5 «О порядке</w:t>
      </w:r>
      <w:proofErr w:type="gramEnd"/>
      <w:r w:rsidRPr="00996668">
        <w:rPr>
          <w:sz w:val="20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 в резерв составов участковых комиссий.</w:t>
      </w:r>
      <w:r>
        <w:rPr>
          <w:sz w:val="20"/>
          <w:szCs w:val="20"/>
        </w:rPr>
        <w:t xml:space="preserve"> </w:t>
      </w:r>
      <w:proofErr w:type="gramStart"/>
      <w:r w:rsidRPr="00996668">
        <w:rPr>
          <w:b/>
          <w:i/>
          <w:sz w:val="20"/>
          <w:szCs w:val="20"/>
        </w:rPr>
        <w:t xml:space="preserve">В резерв составов участковых комиссий не </w:t>
      </w:r>
      <w:r w:rsidRPr="00996668">
        <w:rPr>
          <w:b/>
          <w:i/>
          <w:sz w:val="20"/>
          <w:szCs w:val="20"/>
        </w:rPr>
        <w:lastRenderedPageBreak/>
        <w:t>зачисляются кандидатуры</w:t>
      </w:r>
      <w:r w:rsidRPr="00996668">
        <w:rPr>
          <w:b/>
          <w:sz w:val="20"/>
          <w:szCs w:val="20"/>
        </w:rPr>
        <w:t>,</w:t>
      </w:r>
      <w:r w:rsidRPr="00996668">
        <w:rPr>
          <w:sz w:val="20"/>
          <w:szCs w:val="20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именно: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лица, не имеющие гражданства Российской Федерации, а также граждане Российской Федерации</w:t>
      </w:r>
      <w:proofErr w:type="gramEnd"/>
      <w:r w:rsidRPr="00996668">
        <w:rPr>
          <w:sz w:val="20"/>
          <w:szCs w:val="20"/>
        </w:rPr>
        <w:t xml:space="preserve">, </w:t>
      </w:r>
      <w:proofErr w:type="gramStart"/>
      <w:r w:rsidRPr="00996668">
        <w:rPr>
          <w:sz w:val="20"/>
          <w:szCs w:val="20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  <w:bookmarkStart w:id="6" w:name="Par985"/>
      <w:bookmarkEnd w:id="6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  <w:bookmarkStart w:id="7" w:name="Par986"/>
      <w:bookmarkEnd w:id="7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граждане Российской Федерации, не достигшие возраста 18 лет;</w:t>
      </w:r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депутаты законодательных (представительных) органов государственной власти, органов местного самоуправления;</w:t>
      </w:r>
      <w:proofErr w:type="gramEnd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выборные должностные лица, а также главы местных администраций;</w:t>
      </w:r>
      <w:bookmarkStart w:id="8" w:name="Par991"/>
      <w:bookmarkEnd w:id="8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судьи, прокуроры;</w:t>
      </w:r>
      <w:bookmarkStart w:id="9" w:name="Par998"/>
      <w:bookmarkStart w:id="10" w:name="Par997"/>
      <w:bookmarkStart w:id="11" w:name="Par992"/>
      <w:bookmarkEnd w:id="9"/>
      <w:bookmarkEnd w:id="10"/>
      <w:bookmarkEnd w:id="11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 xml:space="preserve">- </w:t>
      </w:r>
      <w:proofErr w:type="gramStart"/>
      <w:r w:rsidRPr="00996668">
        <w:rPr>
          <w:sz w:val="20"/>
          <w:szCs w:val="20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bookmarkStart w:id="12" w:name="Par1002"/>
      <w:bookmarkEnd w:id="12"/>
      <w:proofErr w:type="gramEnd"/>
      <w:r>
        <w:rPr>
          <w:sz w:val="20"/>
          <w:szCs w:val="20"/>
        </w:rPr>
        <w:t xml:space="preserve"> </w:t>
      </w:r>
      <w:r w:rsidRPr="00996668">
        <w:rPr>
          <w:sz w:val="20"/>
          <w:szCs w:val="20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996668" w:rsidRDefault="00996668" w:rsidP="00996668">
      <w:pPr>
        <w:spacing w:line="360" w:lineRule="auto"/>
        <w:jc w:val="both"/>
        <w:rPr>
          <w:sz w:val="28"/>
          <w:szCs w:val="28"/>
        </w:rPr>
      </w:pPr>
    </w:p>
    <w:p w:rsidR="007A7999" w:rsidRPr="006F529C" w:rsidRDefault="007A7999" w:rsidP="006F52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3" w:name="_GoBack"/>
      <w:bookmarkEnd w:id="13"/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250 экз.</w:t>
      </w:r>
    </w:p>
    <w:p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Завитинского района</w:t>
      </w:r>
    </w:p>
    <w:p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Завитинский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Завитинск, ул. Куйбышева, 44.</w:t>
      </w:r>
    </w:p>
    <w:p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(41636) 22-1-61, 23-5-01, факс: 8 (41636) 22-1-61</w:t>
      </w:r>
    </w:p>
    <w:p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orgotdel16@mail.ru</w:t>
      </w:r>
    </w:p>
    <w:p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Валеева В.И.</w:t>
      </w:r>
    </w:p>
    <w:p w:rsidR="007A7999" w:rsidRPr="00DA32E5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7999" w:rsidRPr="00DA32E5" w:rsidSect="0040104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2">
    <w:nsid w:val="100D7E92"/>
    <w:multiLevelType w:val="multilevel"/>
    <w:tmpl w:val="ED94CD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B6A60"/>
    <w:multiLevelType w:val="hybridMultilevel"/>
    <w:tmpl w:val="80F6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98317B"/>
    <w:multiLevelType w:val="multilevel"/>
    <w:tmpl w:val="B7384D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2">
    <w:nsid w:val="58C25CDF"/>
    <w:multiLevelType w:val="multilevel"/>
    <w:tmpl w:val="E4369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994F2B"/>
    <w:multiLevelType w:val="hybridMultilevel"/>
    <w:tmpl w:val="D1AADC9A"/>
    <w:lvl w:ilvl="0" w:tplc="F872CCF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C0F15"/>
    <w:multiLevelType w:val="multilevel"/>
    <w:tmpl w:val="D514E6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7735A"/>
    <w:multiLevelType w:val="hybridMultilevel"/>
    <w:tmpl w:val="32566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429C"/>
    <w:rsid w:val="000F324C"/>
    <w:rsid w:val="0019789D"/>
    <w:rsid w:val="001D39B8"/>
    <w:rsid w:val="0038682C"/>
    <w:rsid w:val="00401047"/>
    <w:rsid w:val="0042458B"/>
    <w:rsid w:val="00495C58"/>
    <w:rsid w:val="006579B2"/>
    <w:rsid w:val="006F529C"/>
    <w:rsid w:val="007A7999"/>
    <w:rsid w:val="00811914"/>
    <w:rsid w:val="00906283"/>
    <w:rsid w:val="00961C19"/>
    <w:rsid w:val="00996668"/>
    <w:rsid w:val="009C429C"/>
    <w:rsid w:val="009F52AA"/>
    <w:rsid w:val="00B10AA0"/>
    <w:rsid w:val="00CF682A"/>
    <w:rsid w:val="00DA13B1"/>
    <w:rsid w:val="00DA32E5"/>
    <w:rsid w:val="00EA6158"/>
    <w:rsid w:val="00F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A32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615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A6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A32E5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link w:val="a6"/>
    <w:uiPriority w:val="34"/>
    <w:locked/>
    <w:rsid w:val="00401047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aliases w:val="мой"/>
    <w:basedOn w:val="a"/>
    <w:link w:val="a5"/>
    <w:uiPriority w:val="34"/>
    <w:qFormat/>
    <w:rsid w:val="0040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401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401047"/>
  </w:style>
  <w:style w:type="character" w:customStyle="1" w:styleId="normaltextrun">
    <w:name w:val="normaltextrun"/>
    <w:rsid w:val="00401047"/>
  </w:style>
  <w:style w:type="character" w:customStyle="1" w:styleId="eop">
    <w:name w:val="eop"/>
    <w:rsid w:val="00401047"/>
  </w:style>
  <w:style w:type="character" w:styleId="a7">
    <w:name w:val="Hyperlink"/>
    <w:basedOn w:val="a0"/>
    <w:uiPriority w:val="99"/>
    <w:semiHidden/>
    <w:unhideWhenUsed/>
    <w:rsid w:val="004010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3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Title"/>
    <w:basedOn w:val="a"/>
    <w:link w:val="a9"/>
    <w:uiPriority w:val="99"/>
    <w:qFormat/>
    <w:rsid w:val="001D39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D39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52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6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b">
    <w:name w:val="Содержимое таблицы"/>
    <w:basedOn w:val="a"/>
    <w:rsid w:val="009966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rsid w:val="009966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966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Розенко ЕВ</cp:lastModifiedBy>
  <cp:revision>9</cp:revision>
  <dcterms:created xsi:type="dcterms:W3CDTF">2021-06-01T02:25:00Z</dcterms:created>
  <dcterms:modified xsi:type="dcterms:W3CDTF">2021-06-06T23:55:00Z</dcterms:modified>
</cp:coreProperties>
</file>