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Кто платит за негативное воздействие на окружающую среду в 2021 году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 за негативное воздействие на окружающую среду в 2021 году вносят организации и ИП, которые эксплуатируют объекты, вредящие природе. На каком основании вредный объект используется, значения не имеет. Например, организация производит продукцию на арендованном оборудовании, которое вредит окружающей среде. В этом случае вред природе придется компенсировать.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 за вред природе взимается, если негативное воздействие одного из трех видов:</w:t>
      </w:r>
    </w:p>
    <w:p w:rsidR="00BF6115" w:rsidRPr="00BF6115" w:rsidRDefault="00BF6115" w:rsidP="00BF6115">
      <w:pPr>
        <w:numPr>
          <w:ilvl w:val="0"/>
          <w:numId w:val="1"/>
        </w:numPr>
        <w:shd w:val="clear" w:color="auto" w:fill="FFFFFF"/>
        <w:spacing w:before="100" w:beforeAutospacing="1" w:after="210" w:line="39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загрязняют атмосферный воздух;</w:t>
      </w:r>
    </w:p>
    <w:p w:rsidR="00BF6115" w:rsidRPr="00BF6115" w:rsidRDefault="00BF6115" w:rsidP="00BF6115">
      <w:pPr>
        <w:numPr>
          <w:ilvl w:val="0"/>
          <w:numId w:val="1"/>
        </w:numPr>
        <w:shd w:val="clear" w:color="auto" w:fill="FFFFFF"/>
        <w:spacing w:before="100" w:beforeAutospacing="1" w:after="210" w:line="39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загрязняют водные объекты;</w:t>
      </w:r>
    </w:p>
    <w:p w:rsidR="00BF6115" w:rsidRPr="00BF6115" w:rsidRDefault="00BF6115" w:rsidP="00BF6115">
      <w:pPr>
        <w:numPr>
          <w:ilvl w:val="0"/>
          <w:numId w:val="1"/>
        </w:numPr>
        <w:shd w:val="clear" w:color="auto" w:fill="FFFFFF"/>
        <w:spacing w:before="100" w:beforeAutospacing="1" w:after="210" w:line="390" w:lineRule="atLeast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 отходы.</w:t>
      </w:r>
    </w:p>
    <w:p w:rsidR="00BF6115" w:rsidRDefault="00BF6115" w:rsidP="00BF6115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передвижные объекты плата не взимается. Например, у ООО «Альфа» на балансе три автомобиля и мотоцикл. Других «негативных» объектов у организации нет. В этом случае ООО «Альфа» освобождена от платы за негативное воздействие.</w:t>
      </w:r>
    </w:p>
    <w:p w:rsidR="00BF6115" w:rsidRDefault="00BF6115" w:rsidP="00BF6115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бытовой и офисный мусор в </w:t>
      </w:r>
      <w:proofErr w:type="spellStart"/>
      <w:r>
        <w:rPr>
          <w:rFonts w:ascii="Arial" w:hAnsi="Arial" w:cs="Arial"/>
          <w:color w:val="000000"/>
        </w:rPr>
        <w:t>Росприроднадзор</w:t>
      </w:r>
      <w:proofErr w:type="spellEnd"/>
      <w:r>
        <w:rPr>
          <w:rFonts w:ascii="Arial" w:hAnsi="Arial" w:cs="Arial"/>
          <w:color w:val="000000"/>
        </w:rPr>
        <w:t xml:space="preserve"> не платят. Аналогичный вывод — в письме ведомства от 31 октября 2016 г. № АС-09-00-36/22354. Правила, по которым компании рассчитывают плату за негативное воздействие на окружающую среду, содержатся в новом постановлении Правительства РФ от 3 марта 2017 г. № 255. </w:t>
      </w:r>
    </w:p>
    <w:p w:rsidR="00BF6115" w:rsidRDefault="00BF6115" w:rsidP="00BF6115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 приведены в соответствие с законодательством, но вопрос о плате за офисный мусор по-прежнему остается. Новые правила не конкретизируют, кто должен вносить плату, а дублируют нормы закона о плательщиках (ст. 16.1 Федерального закона от 10 января 2002 г. № 7-ФЗ). 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Когда платить за НВОС в 2021 году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организации, кроме субъектов малого и среднего предпринимательства, плату за негативное воздействие на окружающую среду перечисляют четыре раза в год – </w:t>
      </w: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три квартальных авансовых платежа и окончательный по итогам отчетного периода, года. Квартальные авансовые платежи перечисляют не позднее 20-го числа месяца, следующего за I, II и III кварталом отчетного периода, – 20 апреля, 20 июля и 20 октября, а итоговый платеж – не позднее 1 марта следующего года (п. 3, 4 ст. 16.4 Закона от 10.01.2002 № 7-ФЗ).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последний день срока выпадает на выходной, авансовый платеж и доплату по итогам года надо перечислить заранее – в последний рабочий день перед выходными. Сроки, установленные в пунктах 3 и 4 статьи 16.4 Закона от 10.01.2002 № 7-ФЗ не переносятся, потому что общий порядок, установленный статьей 193 ГК, в данном случае не применяется (п. 3 ст. 2 ГК).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малого и среднего предпринимательства освобождены от квартальных авансов и всю сумму платы за год перечисляют в бюджет единовременно не позднее 1 марта следующего года.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плательщик в течение двух последних лет не платил или платил не полностью за негативное воздействие на окружающую среду, представители </w:t>
      </w:r>
      <w:proofErr w:type="spellStart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направят требование об уплате платежей и пеней. В этом случае оплатить задолженность нужно не позднее 15 календарных дней со дня получения требования. Иначе плату и пени взыщут через суд. Такой порядок указан в пунктах 49 и 53 Правил, утвержденных постановлением Правительства от 03.03.2017 № 255.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платить за негативное воздействие в 2021 году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Платежные поручения на перечисление платы за негативное воздействие на окружающую среду оформляйте в соответствии с положением ЦБ от 19.06.2012 № 383-П и приложениями 1 и 2 к приказу Минфина от 12.11.2013 № 107н.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КБК платы за негативное воздействие зависят от вида загрязнений: по выбросам в атмосферу, сбросам в водные источники, отходам производства и ТКО отдельные коды. Поскольку администратор бюджетных доходов </w:t>
      </w:r>
      <w:proofErr w:type="spellStart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Росприроднадзор</w:t>
      </w:r>
      <w:proofErr w:type="spellEnd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поле 101 укажите статус плательщика 08 для организаций и ИП (приложение 2 к приказу Минфина от 29.11.2019 № 207н, приложение 1 к Порядку, утв. приказом Минфина </w:t>
      </w: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 06.06.2019 № 85н). Остальные реквизиты для платежных поручений можно уточнить в территориальном отделении </w:t>
      </w:r>
      <w:proofErr w:type="spellStart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организации несколько стационарных объектов негативного воздействия, объектов размещения отходов, расположенных в разных муниципальных образованиях, вносите плату в бюджет каждого муниципального образования (п. 1 ст. 16.4 Закона от 10 января 2002 № 7-ФЗ).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КБК для уплаты НВОС в 2021 году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721"/>
      </w:tblGrid>
      <w:tr w:rsidR="00BF6115" w:rsidRPr="00BF6115" w:rsidTr="00BF611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 для перечисления платежа</w:t>
            </w:r>
          </w:p>
        </w:tc>
      </w:tr>
      <w:tr w:rsidR="00BF6115" w:rsidRPr="00BF6115" w:rsidTr="00BF611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выбросы в атмосферу стационарными объектами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048 1 12 01010 01 6000 120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01010 01 7000 120 (если администратором платежа является федеральное казенное учреждение)*</w:t>
            </w:r>
          </w:p>
        </w:tc>
      </w:tr>
      <w:tr w:rsidR="00BF6115" w:rsidRPr="00BF6115" w:rsidTr="00BF611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выбросы в водные объекты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048 1 12 01030 01 6000 120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  <w:bookmarkStart w:id="0" w:name="_GoBack"/>
            <w:bookmarkEnd w:id="0"/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01030 01 7000 120 (если администратором платежа является федеральное казенное учреждение)*</w:t>
            </w:r>
          </w:p>
        </w:tc>
      </w:tr>
      <w:tr w:rsidR="00BF6115" w:rsidRPr="00BF6115" w:rsidTr="00BF611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размещение отходов производства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048 1 12 01041 01 6000 120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048 1 12 01041 01 7000 120 (если администратором платежа является федеральное казенное учреждение)*</w:t>
            </w:r>
          </w:p>
        </w:tc>
      </w:tr>
      <w:tr w:rsidR="00BF6115" w:rsidRPr="00BF6115" w:rsidTr="00BF6115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размещение твердых коммунальных отходов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048 1 12 01042 01 6000 120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</w:p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048 1 12 01042 01 7000 120 (если администратором платежа является федеральное казенное учреждение)*</w:t>
            </w:r>
          </w:p>
        </w:tc>
      </w:tr>
    </w:tbl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*Главные администраторы могут передавать свои полномочия по администрированию отдельных доходов бюджета федеральным казенным учреждениям. В таких ситуациях при перечислении платежей в разрядах 14–17 КБК нужно указывать код подвида доходов «7000». Указывать в разрядах 14–17 код подвида доходов «0000» нельзя.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рассчитать плату за НВОС 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платы за загрязнение окружающей среды, бухгалтеру необходимо знать: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5" w:anchor="/document/16/71877/" w:tgtFrame="_blank" w:history="1">
        <w:r w:rsidRPr="00BF6115">
          <w:rPr>
            <w:rFonts w:ascii="Arial" w:eastAsia="Times New Roman" w:hAnsi="Arial" w:cs="Arial"/>
            <w:color w:val="1252A1"/>
            <w:sz w:val="24"/>
            <w:szCs w:val="24"/>
            <w:bdr w:val="none" w:sz="0" w:space="0" w:color="auto" w:frame="1"/>
            <w:lang w:eastAsia="ru-RU"/>
          </w:rPr>
          <w:t>нормативы предельно допустимых выбросов загрязняющих веществ, размещаемых отходов</w:t>
        </w:r>
      </w:hyperlink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их </w:t>
      </w:r>
      <w:hyperlink r:id="rId6" w:anchor="/document/16/71877/" w:tgtFrame="_blank" w:history="1">
        <w:r w:rsidRPr="00BF6115">
          <w:rPr>
            <w:rFonts w:ascii="Arial" w:eastAsia="Times New Roman" w:hAnsi="Arial" w:cs="Arial"/>
            <w:color w:val="1252A1"/>
            <w:sz w:val="24"/>
            <w:szCs w:val="24"/>
            <w:bdr w:val="none" w:sz="0" w:space="0" w:color="auto" w:frame="1"/>
            <w:lang w:eastAsia="ru-RU"/>
          </w:rPr>
          <w:t>лимиты</w:t>
        </w:r>
      </w:hyperlink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смотрите в Системе Главбух.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ставки платы:</w:t>
      </w:r>
    </w:p>
    <w:p w:rsidR="00BF6115" w:rsidRPr="00BF6115" w:rsidRDefault="00BF6115" w:rsidP="00BF6115">
      <w:pPr>
        <w:numPr>
          <w:ilvl w:val="0"/>
          <w:numId w:val="2"/>
        </w:numPr>
        <w:shd w:val="clear" w:color="auto" w:fill="FFFFFF"/>
        <w:spacing w:before="100" w:beforeAutospacing="1" w:after="21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загрязнение окружающей среды и дополнительные коэффициенты, утвержденные постановлением Правительства от 13.09.2016 № 913;</w:t>
      </w:r>
    </w:p>
    <w:p w:rsidR="00BF6115" w:rsidRPr="00BF6115" w:rsidRDefault="00BF6115" w:rsidP="00BF6115">
      <w:pPr>
        <w:numPr>
          <w:ilvl w:val="0"/>
          <w:numId w:val="2"/>
        </w:numPr>
        <w:shd w:val="clear" w:color="auto" w:fill="FFFFFF"/>
        <w:spacing w:before="100" w:beforeAutospacing="1" w:after="21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размещение твердых коммунальных отходов IV класса опасности (малоопасные), утвержденные постановлением Правительства от 29.06.2018 № 758. Ставки действуют с 1 января 2018 года (п. 4 постановления Правительства от 29.06.2018 № 758).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коэффициенты, которые приведены в статье 16.3 Закона от 10.01.2002 № 7-ФЗ и пункте 8 статьи 11 Закона от 21.07.2014 № 219-ФЗ.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/document/16/71513/" w:tgtFrame="_blank" w:history="1">
        <w:r w:rsidRPr="00BF6115">
          <w:rPr>
            <w:rFonts w:ascii="Arial" w:eastAsia="Times New Roman" w:hAnsi="Arial" w:cs="Arial"/>
            <w:i/>
            <w:iCs/>
            <w:color w:val="1252A1"/>
            <w:sz w:val="24"/>
            <w:szCs w:val="24"/>
            <w:bdr w:val="none" w:sz="0" w:space="0" w:color="auto" w:frame="1"/>
            <w:lang w:eastAsia="ru-RU"/>
          </w:rPr>
          <w:t>Как рассчитать плату за НВОС:</w:t>
        </w:r>
      </w:hyperlink>
      <w:r w:rsidRPr="00BF6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рекомендации чиновников Минприроды в Системе Главбух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Ставки для расчета платы за негативное воздействие на окружающую среду в 2021 году</w:t>
      </w:r>
    </w:p>
    <w:p w:rsidR="00BF6115" w:rsidRPr="00BF6115" w:rsidRDefault="00BF6115" w:rsidP="00BF6115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 за негативное воздействие на окружающую среду за 2021 год считайте по тем же ставкам, что и за 2020-й: ставка 2018 года, умноженная на коэффициент 1,08 (постановление Правительства от 11.09.2020 № 1393).</w:t>
      </w:r>
    </w:p>
    <w:p w:rsidR="00BF6115" w:rsidRPr="00BF6115" w:rsidRDefault="00BF6115" w:rsidP="00BF61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F611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Таблица ставок платы за НВОС в 2021 году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650"/>
        <w:gridCol w:w="2626"/>
        <w:gridCol w:w="4062"/>
      </w:tblGrid>
      <w:tr w:rsidR="00BF6115" w:rsidRPr="00BF6115" w:rsidTr="00BF6115">
        <w:tc>
          <w:tcPr>
            <w:tcW w:w="5070" w:type="dxa"/>
            <w:gridSpan w:val="3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загрязняющих веществ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Ставки платы за 1 тонну загрязняющих веществ (отходов производства и потребления), руб.</w:t>
            </w:r>
          </w:p>
        </w:tc>
      </w:tr>
      <w:tr w:rsidR="00BF6115" w:rsidRPr="00BF6115" w:rsidTr="00BF6115">
        <w:tc>
          <w:tcPr>
            <w:tcW w:w="0" w:type="auto"/>
            <w:gridSpan w:val="3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2018 -2021 год</w:t>
            </w:r>
          </w:p>
        </w:tc>
      </w:tr>
      <w:tr w:rsidR="00BF6115" w:rsidRPr="00BF6115" w:rsidTr="00BF6115">
        <w:tc>
          <w:tcPr>
            <w:tcW w:w="9315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Азота диоксид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Азота 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Азотная кислота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Аммиак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Аммиачная селитра (аммония нитрат)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Барий и его соли (в пересчете на барий)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1108,1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(а)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пирен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5472968,7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Борная кислота (ортоборная кислота)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Ванадия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пятиоксид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2736,8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Взвешенные частицы РМ10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Взвешенные частицы РМ2,5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Взвешенные вещества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 бромистый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гидробромид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 мышьяковистый (арсин)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2736,8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 фосфористый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Водород цианистый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Гексафторид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серы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Диалюминий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триоксид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 пересчете на алюминий)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Диоксины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полихлорированные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дибензо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-п-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диоксины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дибензофураны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в пересчете на 2,3,7,8-тетрахлордибензо-1,4-диоксин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13400000000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Диэтилртуть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 пересчете на ртуть)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18244,1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Железа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 пересчете на железо)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1369,7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Зола твердого топлива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Зола ТЭС мазутная (в пересчете на ванадий)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Кадмий и его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14759,3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Карбонат натрия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динатрия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карбонат)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терефталевая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Никель, оксид никеля (в пересчете на никель)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Никеля растворимые соли (в пересчете на никель)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27364,8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Магния 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Марганец и его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Медь, оксид меди, сульфат меди, хлорид меди (в пересчете на медь)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Метилмеркаптан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этилмеркаптан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54729,7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Мышьяк и его соединения, кроме водорода мышьяковистого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Пыль неорганическая, содержащая диоксид кремния в процентах: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выше 70 процентов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70 - 20 процентов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 20 процентов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Ртуть и ее соединения, кроме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диэтилртути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18244,1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Свинец и его соединения, кроме тетраэтилсвинца (в пересчете на свинец)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18244,1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Сероводород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Сероуглерод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1094,7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Серная кислота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Серы диоксид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Теллура диоксид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10947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Тетраэтилсвинец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136824,2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Углерода оксид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Фосген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Фосфорный ангидрид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дифосфора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пентаоксид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Фториды газообразные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гидрофторид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кремния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тетрафторид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(в пересчете на фтор)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1094,7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Фториды твердые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Фтористый водород, растворимые фториды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Хлористый водород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Хлоропрен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2736,8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 (Cr+6)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3647,2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Углеводороды предельные C1 - C5 (исключая метан)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Углеводороды предельные C6 - C10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Углеводороды предельные C12 - C19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Циклогексан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Амилены (смесь изомеров)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1,3-Бутадиен (дивинил)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Гептен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Пропилен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Альфа-метилстирол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(ксилол) (смесь мета-,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орто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 параизомеров)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Изопропилбензол (кумол)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392,5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Метилбензол (толуол)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Растворитель мебельный (АМР-3) (контроль по толуолу)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1,3,5-Триметилбензол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мезитилен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Этиленбензол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(стирол)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2736,8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Нафталин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1-Бромгептан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гептил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1-Бромдекан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децил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1-Бром-3-метилбутан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изоамил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1-Бром-2-метилпропан (изобутил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1-Бромпентан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1-Бромпропан (пропил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2-Бромпропан (изопропил бромистый)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Дихлорэтан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Дихлорфторметан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(фреон 21)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Дифторхлорметан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(фреон 22)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1,2-Дихлорпропан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Метилен хлористый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Тетрахлорэтилен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перхлорэтилен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Тетрафторэтилен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(хлороформ)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Трихлорэтилен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Трибромметан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бромоформ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(четыреххлористый углерод)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Хлорэтан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(этил хлористый)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Эпихлоргидрин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Гидроксиметилбензол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(крезол, смесь изомеров: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орто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-, мета-, пара-)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амиловый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бутиловый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изобутиловый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Спирт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изооктиловый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изопропиловый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Спирт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пропиловый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Спирт этиловый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Циклогексанол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Диметиловый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эфир терефталевой кислоты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(смесь 25% дифенила и 75%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дифенилоксида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Диэтиловый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эфир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Метилаль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диметоксиметан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Моноизобутиловый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эфир этиленгликоля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бутилцеллозольв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Бутилакрилат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(бутиловый эфир акриловой кислоты)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Бутилацетат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Метилакрилат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(метилпроп-2-еноат)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Метилацетат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Этилацетат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Акролеин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Альдегид масляный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Ацетофенон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метилфенилкетон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Метилэтилкетон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Растворитель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древесноспиртовой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марки А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ацетоноэфирный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(контроль по ацетону)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Растворитель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древесноспиртовой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марки Э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эфирноацетоновый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(контроль по ацетону)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Циклогексанон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Ангидрид малеиновый (пары, аэрозоль)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Ангидрид уксусный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Ангидрид фталевый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Эпсилон-капролактам (гексагидро-2H-азепин-2-он)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акриловая (проп-2-еновая кислота)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валериановая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капроновая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1094,7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масляная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Кислота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пропионовая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уксусная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муравьиная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Гидроперекись изопропилбензола (гидроперекись кумола)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Пропилена окись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Этилена окись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Диметилсульфид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Анилин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Диметиламин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1094,7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Триэтиламин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Нитробензол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Акрилонитрил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N, N1-Диметилацетамид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934,5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Толуилендиизоцианат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(нефтяной, малосернистый в пересчете на углерод)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сланцевый (в пересчете на углерод)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Керосин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Минеральное масло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Скипидар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Сольвент-нафта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Уайт-спирит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9315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II. Ставки платы за сбросы загрязняющих веществ в водные объекты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Акрилонитрил (нитрил акриловой кислоты)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Алюминий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18388,3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Алкилбензилпиридиния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хлорид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849960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Аммоний-ион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Аммиак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Анилин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фениаламин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5950387,4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Ацетат натрия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1842,3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диметилкетон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пропанон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Ацетонитрил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Берилий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1983592,8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(а)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пирен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Бензол и его гомологи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43267,4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Борная кислота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43267,4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Бромдихлорметан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Бромид-анион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Бутанол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Бутилацетат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Бутилметакрилат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Ванадий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Винилхлорид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74380032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Висмут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Вольфрам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743800,3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Гексан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Гидразингидрат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1983592,8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Глицерин (пропан-1,2,3-триол)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Дибромхлорметан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1,2-Дихлорэтан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1,4-Дигидроксибензол (гидрохинон)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2,6-Диметиланилин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Диметиламин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(N-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метилметанамин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Диметилмеркаптан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диметилсульфид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2,4-Динитрофенол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Диметилфталат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(диметилбензол-1,2-дикарбонат)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1,2-Дихлорпропан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Цис-1,3-дихлорпропен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Транс-1,3-дихлорпропен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2,4-Дихлорфенол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гидроксидихлорбензол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Додецилбензол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(хлористый метилен)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Кадмий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147106,3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Капролактам (гексагидро-2H-азепин-2-он)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Карбамид (мочевина)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Кобальт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Кремний (силикаты)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о-Крезол (2-метилфенол)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п-Крезол (4-метилфенол)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183882,9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Ксилол (о-ксилол, м-ксилол, п-ксилол)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Лигнинсульфоновые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Лигносульфонаты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Марганец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Метанол (метиловый спирт)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Метилакрилат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(метилпроп-2-еноат, метиловый эфир акриловой кислоты)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Метантиол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метилмеркаптан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3679260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Метилацетат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Метол (1-гидрокси-4-(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метиламино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бензол)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991727,3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Молибден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612946,6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Моноэтаноламин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Мышьяк и его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Нафталин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183882,9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Нефтепродукты (нефть)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Никель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Нитрат-анион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Нитрит-анион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Нитробензол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Олово и его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5313,6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1,1,2,2,3-пентахлорпропан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Пентахлорфенол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Пиридин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Полиакриламид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Пропанол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1982,9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Роданид-ион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Рубидий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Ртуть и ее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Свинец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99172,1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297518,4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Серебро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Сероуглерод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АСПАВ (анионные синтетические поверхностно-активные вещества)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КСПАВ (катионные синтетические поверхностно-активные вещества)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НСПАВ (неионогенные синтетические поверхностно-активные вещества)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Скипидар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3679,3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Стирол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этенилбензол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винилбензол)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Стронций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1488,2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Сульфат-анион (сульфаты)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Сульфиды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119007,4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Сульфит-анион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Сурьма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Таллий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Теллур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198352,8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1,1,1,2-Тетрахлорэтан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Тетрахлорэтилен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перхлорэтилен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(четыреххлористый углерод)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Тетраэтилсвинец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Тиокарбамид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тиомочевина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Тиосульфаты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Титан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9916,6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Трилон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-Б (этилендиаминтетрауксусной кислоты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динатриевая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соль)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1473,8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Триэтиламин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Трихлорбензол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(сумма изомеров)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1,2,3-Трихлорпропан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2,4,6-Трихлорфенол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Трихлорэтилен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Уксусная кислота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Фенол,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гидроксибензол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Формальдегид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метаналь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муравьиный альдегид)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Фосфаты (по фосфору)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3679,3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Фторид-анион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982,6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Фурфурол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 свободный, растворенный и хлорорганические соединения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Хлорат-анион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Хлороформ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трихлорметан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Хлорфенолы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Хлорид-анион (хлориды)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 трехвалентный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8499,6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 шестивалентный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29751,8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Цезий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Цианид-анион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Циклогексанол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Цирконий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8499,6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Этилацетат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2976,5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Этилбензол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Этиленгликоль (гликоль, этандиол-1,2)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2942,3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Альдрин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(1,2,3,4,10,10-гексахлор-1,4,4а, 5,8,8а-гексагидро-1,4-эндоэкзо-5,8-диметанонафталин)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Атразин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(6-хлоро-N-этил-N'-(1-метилэтил)-1,3,5-триазины-2,4-диамин)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147106,3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Гексахлорциклогексан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(альфа-, бета-,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гаммаизомеры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2,4-Д (2,4-дихлорфеноксиуксусная кислота и производные)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7369,2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Диоксины</w:t>
            </w:r>
            <w:proofErr w:type="spellEnd"/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(3а, 4, 7, 7а-тетрагидро-2-[(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трихлорметил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)тио]-1н-изоиндол-1,3(2н)-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991727,3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Карбофос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диэтил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диметоксифосфинотионил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обутандионат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4,4'-ДДТ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п,п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'-ДДТ, 4,4'-дихлордифенилтрихлорметил этан)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4,4'-ДДД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п,п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F9EAED" wp14:editId="76E4EF15">
                      <wp:extent cx="139700" cy="139700"/>
                      <wp:effectExtent l="0" t="0" r="0" b="0"/>
                      <wp:docPr id="4" name="AutoShape 3" descr="C:\Users\VALENT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DD228" id="AutoShape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-ДДД, 4,4</w:t>
            </w:r>
            <w:r w:rsidRPr="00BF611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B681A8" wp14:editId="27327A26">
                      <wp:extent cx="139700" cy="139700"/>
                      <wp:effectExtent l="0" t="0" r="0" b="0"/>
                      <wp:docPr id="3" name="AutoShape 4" descr="C:\Users\VALENT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8D9EB" id="AutoShape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дихлордифенилдихлорэтан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Прометрин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(2,4-Бис(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изопропиламино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)-6-метилтио-симм-триазин)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14711,7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Симазин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(6-хлор-N, N'-диэтил-1,3,5-триазины-2,4-диамин)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367926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Полихлорированные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бифенилы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(ПХБ 28, ПХБ 52, ПХБ 74, ПХБ 99, ПХБ 101, ПХБ 105, ПХБ 110, ПХБ 153, ПХБ 170)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73553403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Трифлуралин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(2,6-динитро-N, N[-дипропил-4-(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трифторметил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анилин)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2451780,9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ТХАН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трихлорацетат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натрия, ТЦА)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21015,6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Фозалон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(O,O-диэтил-(S-2,3-дигидро-6-хлор-2-оксобензоксазол-3-илметил)-дитиофосфат)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24517803,7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157.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БПК полн.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243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Взвешенные вещества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977,2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Сухой остаток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Примечание.</w:t>
            </w:r>
          </w:p>
        </w:tc>
        <w:tc>
          <w:tcPr>
            <w:tcW w:w="700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BF6115" w:rsidRPr="00BF6115" w:rsidTr="00BF6115">
        <w:tc>
          <w:tcPr>
            <w:tcW w:w="9315" w:type="dxa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III. Ставки платы при размещении отходов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I класса опасности (чрезвычайно опасные)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4643,7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II класса опасности (</w:t>
            </w:r>
            <w:proofErr w:type="spellStart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высокоопасные</w:t>
            </w:r>
            <w:proofErr w:type="spellEnd"/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1990,2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III класса опасности (умеренно опасные)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1327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IV класса опасности (малоопасные) (за исключением твердых коммунальных отходов IV класса опасности (малоопасные)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663,2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Отходы V класса опасности (практически неопасные):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добывающей промышленности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перерабатывающей промышленности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BF6115" w:rsidRPr="00BF6115" w:rsidTr="00BF6115"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4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F6115" w:rsidRPr="00BF6115" w:rsidRDefault="00BF6115" w:rsidP="00BF6115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61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17,3</w:t>
            </w:r>
          </w:p>
        </w:tc>
      </w:tr>
    </w:tbl>
    <w:p w:rsidR="006A05EB" w:rsidRDefault="006A05EB"/>
    <w:sectPr w:rsidR="006A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575"/>
    <w:multiLevelType w:val="multilevel"/>
    <w:tmpl w:val="22A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472A2"/>
    <w:multiLevelType w:val="multilevel"/>
    <w:tmpl w:val="09AE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9"/>
    <w:rsid w:val="006A05EB"/>
    <w:rsid w:val="008038E9"/>
    <w:rsid w:val="00B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8F1D-0AE3-4492-A8E2-EF79DA4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6115"/>
  </w:style>
  <w:style w:type="paragraph" w:customStyle="1" w:styleId="msonormal0">
    <w:name w:val="msonormal"/>
    <w:basedOn w:val="a"/>
    <w:rsid w:val="00BF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115"/>
    <w:rPr>
      <w:b/>
      <w:bCs/>
    </w:rPr>
  </w:style>
  <w:style w:type="character" w:styleId="a5">
    <w:name w:val="Hyperlink"/>
    <w:basedOn w:val="a0"/>
    <w:uiPriority w:val="99"/>
    <w:semiHidden/>
    <w:unhideWhenUsed/>
    <w:rsid w:val="00BF61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6115"/>
    <w:rPr>
      <w:color w:val="800080"/>
      <w:u w:val="single"/>
    </w:rPr>
  </w:style>
  <w:style w:type="character" w:styleId="a7">
    <w:name w:val="Emphasis"/>
    <w:basedOn w:val="a0"/>
    <w:uiPriority w:val="20"/>
    <w:qFormat/>
    <w:rsid w:val="00BF6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gl.ru/?utm_medium=refer&amp;utm_source=www.glavbukh.ru&amp;utm_term=88591&amp;utm_content=art&amp;utm_campaign=red_bloc_content_link_n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gl.ru/?utm_medium=refer&amp;utm_source=www.glavbukh.ru&amp;utm_term=88591&amp;utm_content=art&amp;utm_campaign=red_bloc_content_link_native" TargetMode="External"/><Relationship Id="rId5" Type="http://schemas.openxmlformats.org/officeDocument/2006/relationships/hyperlink" Target="https://vip.1gl.ru/?utm_medium=refer&amp;utm_source=www.glavbukh.ru&amp;utm_term=88591&amp;utm_content=art&amp;utm_campaign=red_bloc_content_link_na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2931</Words>
  <Characters>16709</Characters>
  <Application>Microsoft Office Word</Application>
  <DocSecurity>0</DocSecurity>
  <Lines>139</Lines>
  <Paragraphs>39</Paragraphs>
  <ScaleCrop>false</ScaleCrop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2021-06-24T23:55:00Z</dcterms:created>
  <dcterms:modified xsi:type="dcterms:W3CDTF">2021-06-25T00:05:00Z</dcterms:modified>
</cp:coreProperties>
</file>