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739BB" w:rsidTr="00CA118A">
        <w:trPr>
          <w:trHeight w:val="964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272306">
        <w:rPr>
          <w:rFonts w:ascii="Times New Roman" w:hAnsi="Times New Roman"/>
          <w:u w:val="single"/>
        </w:rPr>
        <w:t xml:space="preserve">    </w:t>
      </w:r>
      <w:r w:rsidR="00550F17">
        <w:rPr>
          <w:rFonts w:ascii="Times New Roman" w:hAnsi="Times New Roman"/>
          <w:u w:val="single"/>
        </w:rPr>
        <w:t>_____________</w:t>
      </w:r>
      <w:r w:rsidR="00272306">
        <w:rPr>
          <w:rFonts w:ascii="Times New Roman" w:hAnsi="Times New Roman"/>
          <w:u w:val="single"/>
        </w:rPr>
        <w:t xml:space="preserve">    </w:t>
      </w:r>
      <w:r w:rsidR="00272306" w:rsidRPr="00272306">
        <w:rPr>
          <w:rFonts w:ascii="Times New Roman" w:hAnsi="Times New Roman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272306">
        <w:rPr>
          <w:rFonts w:ascii="Times New Roman" w:hAnsi="Times New Roman"/>
          <w:u w:val="single"/>
        </w:rPr>
        <w:t xml:space="preserve">    </w:t>
      </w:r>
      <w:r w:rsidR="00331CC7">
        <w:rPr>
          <w:rFonts w:ascii="Times New Roman" w:hAnsi="Times New Roman"/>
          <w:u w:val="single"/>
        </w:rPr>
        <w:t>___</w:t>
      </w:r>
      <w:r w:rsidR="000608CA" w:rsidRPr="00886414">
        <w:rPr>
          <w:rFonts w:ascii="Times New Roman" w:hAnsi="Times New Roman"/>
          <w:u w:val="single"/>
        </w:rPr>
        <w:t>__</w:t>
      </w:r>
      <w:r w:rsidR="00272306">
        <w:rPr>
          <w:rFonts w:ascii="Times New Roman" w:hAnsi="Times New Roman"/>
          <w:u w:val="single"/>
        </w:rPr>
        <w:t xml:space="preserve"> 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</w:p>
    <w:p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Завитинского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550F17">
        <w:rPr>
          <w:rFonts w:ascii="Times New Roman" w:hAnsi="Times New Roman"/>
          <w:sz w:val="28"/>
          <w:szCs w:val="28"/>
        </w:rPr>
        <w:t>31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550F17">
        <w:rPr>
          <w:rFonts w:ascii="Times New Roman" w:hAnsi="Times New Roman"/>
          <w:sz w:val="28"/>
          <w:szCs w:val="28"/>
        </w:rPr>
        <w:t>1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20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550F17">
        <w:rPr>
          <w:rFonts w:ascii="Times New Roman" w:hAnsi="Times New Roman"/>
          <w:sz w:val="28"/>
          <w:szCs w:val="28"/>
        </w:rPr>
        <w:t>3</w:t>
      </w:r>
      <w:r w:rsidR="009039AA">
        <w:rPr>
          <w:rFonts w:ascii="Times New Roman" w:hAnsi="Times New Roman"/>
          <w:sz w:val="28"/>
          <w:szCs w:val="28"/>
        </w:rPr>
        <w:t>4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Глава Завитинского района                                                                    С.С.Линевич</w:t>
      </w:r>
    </w:p>
    <w:p w:rsidR="004F331C" w:rsidRDefault="004F331C" w:rsidP="001F292D">
      <w:pPr>
        <w:pStyle w:val="Default"/>
        <w:jc w:val="both"/>
        <w:rPr>
          <w:sz w:val="28"/>
          <w:szCs w:val="28"/>
        </w:rPr>
      </w:pPr>
    </w:p>
    <w:p w:rsidR="00681155" w:rsidRDefault="00681155" w:rsidP="001F292D">
      <w:pPr>
        <w:pStyle w:val="Default"/>
        <w:jc w:val="both"/>
        <w:rPr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2B10B6" w:rsidRPr="00BF7F74" w:rsidRDefault="002B10B6" w:rsidP="001F29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</w:t>
            </w:r>
            <w:r w:rsidR="00222D6F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="00222D6F">
              <w:rPr>
                <w:rFonts w:ascii="Times New Roman" w:hAnsi="Times New Roman"/>
                <w:spacing w:val="-2"/>
                <w:sz w:val="20"/>
                <w:szCs w:val="20"/>
              </w:rPr>
              <w:t>ультуры, спорта и молодежной политики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 xml:space="preserve">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6B2E83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9B1" w:rsidRPr="00985CDF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985CD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А.Татарникова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039AA" w:rsidRDefault="00FF69B1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Согласовано:</w:t>
            </w:r>
          </w:p>
          <w:p w:rsidR="00FF69B1" w:rsidRPr="009039AA" w:rsidRDefault="00666245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Главный специалист-юрисконсульт </w:t>
            </w:r>
            <w:r w:rsidR="00FF69B1" w:rsidRP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отдела по труду, социальным и правовым вопросам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331CC7">
              <w:rPr>
                <w:rFonts w:ascii="Times New Roman" w:hAnsi="Times New Roman"/>
                <w:sz w:val="20"/>
                <w:szCs w:val="20"/>
                <w:lang w:eastAsia="ar-SA"/>
              </w:rPr>
              <w:t>С.Е.Талашова</w:t>
            </w:r>
          </w:p>
          <w:p w:rsidR="00985CDF" w:rsidRPr="00985CDF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85CDF" w:rsidRPr="00BF7F74" w:rsidTr="00985CDF">
        <w:tc>
          <w:tcPr>
            <w:tcW w:w="4785" w:type="dxa"/>
            <w:shd w:val="clear" w:color="auto" w:fill="auto"/>
          </w:tcPr>
          <w:p w:rsidR="00985CDF" w:rsidRPr="00BF7F74" w:rsidRDefault="00985CDF" w:rsidP="00985CDF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985CDF" w:rsidRPr="00985CDF" w:rsidTr="00985CDF">
        <w:tc>
          <w:tcPr>
            <w:tcW w:w="4785" w:type="dxa"/>
            <w:shd w:val="clear" w:color="auto" w:fill="auto"/>
          </w:tcPr>
          <w:p w:rsidR="00985CDF" w:rsidRPr="00985CDF" w:rsidRDefault="00985CDF" w:rsidP="00985CDF">
            <w:pPr>
              <w:tabs>
                <w:tab w:val="left" w:pos="8820"/>
              </w:tabs>
              <w:spacing w:line="240" w:lineRule="auto"/>
              <w:ind w:right="-109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85CDF">
              <w:rPr>
                <w:rFonts w:ascii="Times New Roman" w:hAnsi="Times New Roman"/>
                <w:sz w:val="20"/>
                <w:szCs w:val="20"/>
              </w:rPr>
              <w:t>А.В. Климова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85CDF" w:rsidRPr="00985CDF" w:rsidRDefault="009039AA" w:rsidP="00985CDF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5CD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начальника финансового отдела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Default="00985CDF" w:rsidP="009039A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</w:t>
            </w:r>
            <w:r w:rsidR="00331CC7">
              <w:rPr>
                <w:rFonts w:ascii="Times New Roman" w:hAnsi="Times New Roman"/>
                <w:sz w:val="20"/>
                <w:szCs w:val="20"/>
                <w:lang w:eastAsia="ar-SA"/>
              </w:rPr>
              <w:t>О.Н.</w:t>
            </w:r>
            <w:r w:rsidR="00550F17">
              <w:rPr>
                <w:rFonts w:ascii="Times New Roman" w:hAnsi="Times New Roman"/>
                <w:sz w:val="20"/>
                <w:szCs w:val="20"/>
                <w:lang w:eastAsia="ar-SA"/>
              </w:rPr>
              <w:t>Кийченко</w:t>
            </w:r>
          </w:p>
          <w:p w:rsidR="00550F17" w:rsidRDefault="00550F17" w:rsidP="00550F1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Начальник отдела учета и финансирования</w:t>
            </w:r>
          </w:p>
          <w:p w:rsidR="00550F17" w:rsidRDefault="00550F17" w:rsidP="00550F1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администрации Завитинского района</w:t>
            </w:r>
          </w:p>
          <w:p w:rsidR="00550F17" w:rsidRPr="00985CDF" w:rsidRDefault="00550F17" w:rsidP="00550F1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С.Н.Рабан</w:t>
            </w:r>
          </w:p>
        </w:tc>
      </w:tr>
      <w:tr w:rsidR="00567EED" w:rsidRPr="00985CDF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Управляющий делами</w:t>
            </w:r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администрации   района Завитинского района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Е.В. Розенко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FF69B1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А.Н. Мацкан</w:t>
            </w:r>
          </w:p>
        </w:tc>
      </w:tr>
    </w:tbl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721BA1" w:rsidRDefault="00C70556" w:rsidP="004F331C">
      <w:pPr>
        <w:pStyle w:val="Default"/>
        <w:ind w:firstLine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Приложение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272306" w:rsidRPr="00721BA1">
        <w:rPr>
          <w:sz w:val="28"/>
          <w:szCs w:val="28"/>
        </w:rPr>
        <w:t xml:space="preserve"> </w:t>
      </w:r>
      <w:r w:rsidR="009039AA" w:rsidRPr="00721BA1">
        <w:rPr>
          <w:sz w:val="28"/>
          <w:szCs w:val="28"/>
        </w:rPr>
        <w:t xml:space="preserve">__________  </w:t>
      </w:r>
      <w:r w:rsidR="0081064F" w:rsidRPr="00721BA1">
        <w:rPr>
          <w:sz w:val="28"/>
          <w:szCs w:val="28"/>
        </w:rPr>
        <w:t>№</w:t>
      </w:r>
      <w:r w:rsidR="00F61F89" w:rsidRPr="00721BA1">
        <w:rPr>
          <w:sz w:val="28"/>
          <w:szCs w:val="28"/>
        </w:rPr>
        <w:t xml:space="preserve"> </w:t>
      </w:r>
      <w:r w:rsidR="009039AA" w:rsidRPr="00721BA1">
        <w:rPr>
          <w:sz w:val="28"/>
          <w:szCs w:val="28"/>
        </w:rPr>
        <w:t>_</w:t>
      </w:r>
      <w:r w:rsidR="00985CDF" w:rsidRPr="00721BA1">
        <w:rPr>
          <w:sz w:val="28"/>
          <w:szCs w:val="28"/>
        </w:rPr>
        <w:t>____</w:t>
      </w:r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975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09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3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77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7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2021 год –  1230,00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Ожидаемые конечные </w:t>
            </w:r>
            <w:r w:rsidRPr="00721BA1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lastRenderedPageBreak/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C70556" w:rsidRPr="00721BA1" w:rsidRDefault="00C70556" w:rsidP="000A4B98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28 работников в сфере физической культуры и спорта, из них 17 – учителя физической культуры, 5 методистов по спорту в сельских поселениях. 12 работников имеют высшее образование, 13 – среднее специальное.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2013 году процент охвата населения регулярными занятиями физической культурой и спортом составил 11,67 % (в </w:t>
      </w:r>
      <w:r w:rsidR="00A16C6D" w:rsidRPr="00721BA1">
        <w:rPr>
          <w:sz w:val="28"/>
          <w:szCs w:val="28"/>
        </w:rPr>
        <w:t>2012  году – 10,9).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Иннокентьевка,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 xml:space="preserve">Куприяновка, </w:t>
      </w:r>
      <w:r w:rsidRPr="00721BA1">
        <w:rPr>
          <w:sz w:val="28"/>
          <w:szCs w:val="28"/>
        </w:rPr>
        <w:lastRenderedPageBreak/>
        <w:t>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Болдыревка. Спортивная жизнь на селе сконцентрирована вокруг сельских школ и клубов. Наиболее активные в этом плане: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Иннокентьевка, с. Успеновка, с. Болдыревка, с. Куприяновка.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r w:rsidR="00222D6F" w:rsidRPr="00721BA1">
        <w:rPr>
          <w:sz w:val="28"/>
          <w:szCs w:val="28"/>
        </w:rPr>
        <w:t>в Завитинском</w:t>
      </w:r>
      <w:r w:rsidRPr="00721BA1">
        <w:rPr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Амурской области. 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районе насчитывается 58 спортивных сооружений,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0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о</w:t>
      </w:r>
      <w:r w:rsidR="00623F23" w:rsidRPr="00721BA1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Pr="00721BA1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стадионе «Факел»,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района.</w:t>
      </w:r>
    </w:p>
    <w:p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спортом.</w:t>
      </w:r>
    </w:p>
    <w:p w:rsidR="003E3389" w:rsidRPr="00721BA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70047" w:rsidRPr="00721BA1">
        <w:rPr>
          <w:rFonts w:ascii="Times New Roman" w:hAnsi="Times New Roman"/>
          <w:sz w:val="28"/>
          <w:szCs w:val="28"/>
        </w:rPr>
        <w:t xml:space="preserve">, стадиона «Южный» </w:t>
      </w:r>
      <w:r w:rsidR="006B5022" w:rsidRPr="00721BA1">
        <w:rPr>
          <w:rFonts w:ascii="Times New Roman" w:hAnsi="Times New Roman"/>
          <w:sz w:val="28"/>
          <w:szCs w:val="28"/>
        </w:rPr>
        <w:t>г. Завитинск</w:t>
      </w:r>
      <w:r w:rsidR="00170047" w:rsidRPr="00721BA1">
        <w:rPr>
          <w:rFonts w:ascii="Times New Roman" w:hAnsi="Times New Roman"/>
          <w:sz w:val="28"/>
          <w:szCs w:val="28"/>
        </w:rPr>
        <w:t xml:space="preserve"> </w:t>
      </w:r>
      <w:r w:rsidR="00721BA1">
        <w:rPr>
          <w:rFonts w:ascii="Times New Roman" w:hAnsi="Times New Roman"/>
          <w:sz w:val="28"/>
          <w:szCs w:val="28"/>
        </w:rPr>
        <w:t xml:space="preserve">и </w:t>
      </w:r>
      <w:r w:rsidR="00170047" w:rsidRPr="00721BA1">
        <w:rPr>
          <w:rFonts w:ascii="Times New Roman" w:hAnsi="Times New Roman"/>
          <w:sz w:val="28"/>
          <w:szCs w:val="28"/>
        </w:rPr>
        <w:t>бассейна.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BB2B2B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BB2B2B">
        <w:rPr>
          <w:rFonts w:ascii="Times New Roman" w:hAnsi="Times New Roman"/>
          <w:sz w:val="28"/>
          <w:szCs w:val="28"/>
        </w:rPr>
        <w:t>,</w:t>
      </w:r>
    </w:p>
    <w:p w:rsidR="003E3389" w:rsidRPr="00721BA1" w:rsidRDefault="00BB2B2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инвентаря 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721BA1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721BA1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ГТО.</w:t>
      </w:r>
    </w:p>
    <w:p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>26,70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2019 год –  </w:t>
      </w:r>
      <w:r w:rsidR="00F24DA3" w:rsidRPr="00721BA1">
        <w:rPr>
          <w:sz w:val="28"/>
          <w:szCs w:val="28"/>
        </w:rPr>
        <w:t>5906</w:t>
      </w:r>
      <w:r w:rsidRPr="00721BA1">
        <w:rPr>
          <w:sz w:val="28"/>
          <w:szCs w:val="28"/>
        </w:rPr>
        <w:t>,</w:t>
      </w:r>
      <w:r w:rsidR="00F24DA3" w:rsidRPr="00721BA1">
        <w:rPr>
          <w:sz w:val="28"/>
          <w:szCs w:val="28"/>
        </w:rPr>
        <w:t>70</w:t>
      </w:r>
      <w:r w:rsidRPr="00721BA1">
        <w:rPr>
          <w:sz w:val="28"/>
          <w:szCs w:val="28"/>
        </w:rPr>
        <w:t xml:space="preserve">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</w:t>
      </w:r>
      <w:r w:rsidR="008A1494" w:rsidRPr="00721BA1">
        <w:rPr>
          <w:rFonts w:ascii="Times New Roman" w:hAnsi="Times New Roman"/>
          <w:sz w:val="28"/>
          <w:szCs w:val="28"/>
        </w:rPr>
        <w:t xml:space="preserve"> </w:t>
      </w:r>
      <w:r w:rsidR="00F24DA3" w:rsidRPr="00721BA1">
        <w:rPr>
          <w:rFonts w:ascii="Times New Roman" w:hAnsi="Times New Roman"/>
          <w:sz w:val="28"/>
          <w:szCs w:val="28"/>
        </w:rPr>
        <w:t>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="00F24DA3" w:rsidRPr="00721BA1">
        <w:rPr>
          <w:rFonts w:ascii="Times New Roman" w:hAnsi="Times New Roman"/>
          <w:sz w:val="28"/>
          <w:szCs w:val="28"/>
        </w:rPr>
        <w:t>50</w:t>
      </w:r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721BA1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721BA1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C2718F"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="00C2718F"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 xml:space="preserve">26,70 </w:t>
      </w:r>
      <w:r w:rsidR="00C2718F"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="00C2718F"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="00C2718F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5906,70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2020 год –  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Pr="00721BA1">
        <w:rPr>
          <w:rFonts w:ascii="Times New Roman" w:hAnsi="Times New Roman"/>
          <w:sz w:val="28"/>
          <w:szCs w:val="28"/>
        </w:rPr>
        <w:t>50,00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–  1180,00 тыс. руб.      </w:t>
      </w:r>
    </w:p>
    <w:p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>ртом, до 26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sz w:val="21"/>
                <w:szCs w:val="21"/>
              </w:rPr>
              <w:t>в Завитинском</w:t>
            </w:r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</w:t>
            </w:r>
            <w:r w:rsidRPr="007463F7">
              <w:rPr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</w:t>
            </w:r>
            <w:r w:rsidR="00222D6F" w:rsidRPr="003227FC"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МБОУ ДО</w:t>
            </w:r>
            <w:r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9"/>
        <w:gridCol w:w="1277"/>
        <w:gridCol w:w="953"/>
        <w:gridCol w:w="567"/>
        <w:gridCol w:w="708"/>
        <w:gridCol w:w="1134"/>
        <w:gridCol w:w="576"/>
        <w:gridCol w:w="842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6B5022" w:rsidRPr="006B5022" w:rsidTr="006B5022">
        <w:trPr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6B5022" w:rsidRPr="006B5022" w:rsidTr="006B5022">
        <w:trPr>
          <w:trHeight w:val="4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5022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97809,38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9089,38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77750,00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94626,70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5906,70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77750,00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662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5688,70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5288,70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92520,68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8252,68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14938,00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 Детско-юношеская спортивная школа Завитинского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3852,50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3852,50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87783,18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10200,50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Pr="006B5022" w:rsidRDefault="006B5022" w:rsidP="00331C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5138,70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5138,70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58101901</w:t>
            </w:r>
            <w:r w:rsidR="006662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66245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</w:t>
            </w:r>
            <w:bookmarkStart w:id="1" w:name="_GoBack"/>
            <w:bookmarkEnd w:id="1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31CC7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81155"/>
    <w:rsid w:val="006845A3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0297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25BF"/>
    <w:rsid w:val="008F6C12"/>
    <w:rsid w:val="00902930"/>
    <w:rsid w:val="0090335A"/>
    <w:rsid w:val="009039A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2BDF"/>
  <w15:docId w15:val="{A87DB0DB-A96F-4813-989F-B784633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13FC-FC9A-4E80-ACDA-26D0C23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28501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2020-01-31T00:35:00Z</cp:lastPrinted>
  <dcterms:created xsi:type="dcterms:W3CDTF">2020-04-01T05:22:00Z</dcterms:created>
  <dcterms:modified xsi:type="dcterms:W3CDTF">2020-04-01T06:42:00Z</dcterms:modified>
</cp:coreProperties>
</file>